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215F3" w14:textId="728FCDE1" w:rsidR="00FA28F2" w:rsidRPr="00FA28F2" w:rsidRDefault="00FA28F2" w:rsidP="00FA28F2">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A28F2">
        <w:rPr>
          <w:rFonts w:ascii="Segoe UI" w:eastAsia="Times New Roman" w:hAnsi="Segoe UI" w:cs="Segoe UI"/>
          <w:b/>
          <w:bCs/>
          <w:kern w:val="0"/>
          <w:sz w:val="36"/>
          <w:szCs w:val="36"/>
          <w14:ligatures w14:val="none"/>
        </w:rPr>
        <w:t>BRAND NAME ONLY JUSTIFICATION &amp; APPROVAL</w:t>
      </w:r>
      <w:r w:rsidRPr="00FA28F2">
        <w:rPr>
          <w:rFonts w:ascii="Segoe UI" w:eastAsia="Times New Roman" w:hAnsi="Segoe UI" w:cs="Segoe UI"/>
          <w:b/>
          <w:bCs/>
          <w:kern w:val="0"/>
          <w:sz w:val="36"/>
          <w:szCs w:val="36"/>
          <w14:ligatures w14:val="none"/>
        </w:rPr>
        <w:br/>
        <w:t>FAR 11.105 – ITEMS PECULIAR TO ONE MANUFACTURER</w:t>
      </w:r>
      <w:r w:rsidRPr="00FA28F2">
        <w:rPr>
          <w:rFonts w:ascii="Segoe UI" w:eastAsia="Times New Roman" w:hAnsi="Segoe UI" w:cs="Segoe UI"/>
          <w:b/>
          <w:bCs/>
          <w:kern w:val="0"/>
          <w:sz w:val="36"/>
          <w:szCs w:val="36"/>
          <w14:ligatures w14:val="none"/>
        </w:rPr>
        <w:br/>
        <w:t>U.S. Section, International Boundary and Water Commission (USIBWC)</w:t>
      </w:r>
      <w:r w:rsidRPr="00FA28F2">
        <w:rPr>
          <w:rFonts w:ascii="Segoe UI" w:eastAsia="Times New Roman" w:hAnsi="Segoe UI" w:cs="Segoe UI"/>
          <w:b/>
          <w:bCs/>
          <w:kern w:val="0"/>
          <w:sz w:val="36"/>
          <w:szCs w:val="36"/>
          <w14:ligatures w14:val="none"/>
        </w:rPr>
        <w:br/>
        <w:t>Nogales International Wastewater Treatment Plant (NIWTP)</w:t>
      </w:r>
      <w:r w:rsidRPr="00FA28F2">
        <w:rPr>
          <w:rFonts w:ascii="Segoe UI" w:eastAsia="Times New Roman" w:hAnsi="Segoe UI" w:cs="Segoe UI"/>
          <w:b/>
          <w:bCs/>
          <w:kern w:val="0"/>
          <w:sz w:val="36"/>
          <w:szCs w:val="36"/>
          <w14:ligatures w14:val="none"/>
        </w:rPr>
        <w:br/>
        <w:t>Headworks Rehabilitation: Replacement of One Coarse Screen, Two Washing Presses, and Two Fine Screens</w:t>
      </w:r>
      <w:r w:rsidRPr="00FA28F2">
        <w:rPr>
          <w:rFonts w:ascii="Segoe UI" w:eastAsia="Times New Roman" w:hAnsi="Segoe UI" w:cs="Segoe UI"/>
          <w:b/>
          <w:bCs/>
          <w:kern w:val="0"/>
          <w:sz w:val="36"/>
          <w:szCs w:val="36"/>
          <w14:ligatures w14:val="none"/>
        </w:rPr>
        <w:br/>
        <w:t>Prepared by: Seone Jones</w:t>
      </w:r>
      <w:r w:rsidRPr="00FA28F2">
        <w:rPr>
          <w:rFonts w:ascii="Segoe UI" w:eastAsia="Times New Roman" w:hAnsi="Segoe UI" w:cs="Segoe UI"/>
          <w:b/>
          <w:bCs/>
          <w:kern w:val="0"/>
          <w:sz w:val="36"/>
          <w:szCs w:val="36"/>
          <w14:ligatures w14:val="none"/>
        </w:rPr>
        <w:br/>
        <w:t xml:space="preserve">Date: </w:t>
      </w:r>
      <w:r>
        <w:rPr>
          <w:rFonts w:ascii="Segoe UI" w:eastAsia="Times New Roman" w:hAnsi="Segoe UI" w:cs="Segoe UI"/>
          <w:b/>
          <w:bCs/>
          <w:kern w:val="0"/>
          <w:sz w:val="36"/>
          <w:szCs w:val="36"/>
          <w14:ligatures w14:val="none"/>
        </w:rPr>
        <w:t>August 20, 2026</w:t>
      </w:r>
    </w:p>
    <w:p w14:paraId="3360DB14" w14:textId="77777777" w:rsidR="00FA28F2" w:rsidRPr="00FA28F2" w:rsidRDefault="00FA28F2" w:rsidP="00FA28F2">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FA28F2">
        <w:rPr>
          <w:rFonts w:ascii="Segoe UI" w:eastAsia="Times New Roman" w:hAnsi="Segoe UI" w:cs="Segoe UI"/>
          <w:kern w:val="0"/>
          <w:sz w:val="21"/>
          <w:szCs w:val="21"/>
          <w14:ligatures w14:val="none"/>
        </w:rPr>
        <w:t>AGENCY AND ACTIVITY</w:t>
      </w:r>
      <w:r w:rsidRPr="00FA28F2">
        <w:rPr>
          <w:rFonts w:ascii="Segoe UI" w:eastAsia="Times New Roman" w:hAnsi="Segoe UI" w:cs="Segoe UI"/>
          <w:kern w:val="0"/>
          <w:sz w:val="21"/>
          <w:szCs w:val="21"/>
          <w14:ligatures w14:val="none"/>
        </w:rPr>
        <w:br/>
        <w:t>U.S. Section, International Boundary and Water Commission</w:t>
      </w:r>
      <w:r w:rsidRPr="00FA28F2">
        <w:rPr>
          <w:rFonts w:ascii="Segoe UI" w:eastAsia="Times New Roman" w:hAnsi="Segoe UI" w:cs="Segoe UI"/>
          <w:kern w:val="0"/>
          <w:sz w:val="21"/>
          <w:szCs w:val="21"/>
          <w14:ligatures w14:val="none"/>
        </w:rPr>
        <w:br/>
        <w:t>Acquisitions Division</w:t>
      </w:r>
      <w:r w:rsidRPr="00FA28F2">
        <w:rPr>
          <w:rFonts w:ascii="Segoe UI" w:eastAsia="Times New Roman" w:hAnsi="Segoe UI" w:cs="Segoe UI"/>
          <w:kern w:val="0"/>
          <w:sz w:val="21"/>
          <w:szCs w:val="21"/>
          <w14:ligatures w14:val="none"/>
        </w:rPr>
        <w:br/>
        <w:t>Nogales Field Office – NIWTP, Rio Rico, Arizona</w:t>
      </w:r>
    </w:p>
    <w:p w14:paraId="25C152E7" w14:textId="77777777" w:rsidR="00FA28F2" w:rsidRPr="00FA28F2" w:rsidRDefault="00FA28F2" w:rsidP="00FA28F2">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FA28F2">
        <w:rPr>
          <w:rFonts w:ascii="Segoe UI" w:eastAsia="Times New Roman" w:hAnsi="Segoe UI" w:cs="Segoe UI"/>
          <w:kern w:val="0"/>
          <w:sz w:val="21"/>
          <w:szCs w:val="21"/>
          <w14:ligatures w14:val="none"/>
        </w:rPr>
        <w:t>NATURE OF ACTION</w:t>
      </w:r>
      <w:r w:rsidRPr="00FA28F2">
        <w:rPr>
          <w:rFonts w:ascii="Segoe UI" w:eastAsia="Times New Roman" w:hAnsi="Segoe UI" w:cs="Segoe UI"/>
          <w:kern w:val="0"/>
          <w:sz w:val="21"/>
          <w:szCs w:val="21"/>
          <w14:ligatures w14:val="none"/>
        </w:rPr>
        <w:br/>
        <w:t>This document serves as the Brand Name Only Justification under FAR 11.105 for procurement and installation of OEM-specific headworks equipment required to rehabilitate the NIWTP screening system. The requirement includes brand</w:t>
      </w:r>
      <w:r w:rsidRPr="00FA28F2">
        <w:rPr>
          <w:rFonts w:ascii="Segoe UI" w:eastAsia="Times New Roman" w:hAnsi="Segoe UI" w:cs="Segoe UI"/>
          <w:kern w:val="0"/>
          <w:sz w:val="21"/>
          <w:szCs w:val="21"/>
          <w14:ligatures w14:val="none"/>
        </w:rPr>
        <w:noBreakHyphen/>
        <w:t>name equipment produced only by Mensch, Vulcan, and ESR stair screen OEMs.</w:t>
      </w:r>
    </w:p>
    <w:p w14:paraId="04962A15" w14:textId="77777777" w:rsidR="00FA28F2" w:rsidRPr="00FA28F2" w:rsidRDefault="00FA28F2" w:rsidP="00FA28F2">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FA28F2">
        <w:rPr>
          <w:rFonts w:ascii="Segoe UI" w:eastAsia="Times New Roman" w:hAnsi="Segoe UI" w:cs="Segoe UI"/>
          <w:kern w:val="0"/>
          <w:sz w:val="21"/>
          <w:szCs w:val="21"/>
          <w14:ligatures w14:val="none"/>
        </w:rPr>
        <w:t>DESCRIPTION OF SUPPLIES AND SERVICES</w:t>
      </w:r>
      <w:r w:rsidRPr="00FA28F2">
        <w:rPr>
          <w:rFonts w:ascii="Segoe UI" w:eastAsia="Times New Roman" w:hAnsi="Segoe UI" w:cs="Segoe UI"/>
          <w:kern w:val="0"/>
          <w:sz w:val="21"/>
          <w:szCs w:val="21"/>
          <w14:ligatures w14:val="none"/>
        </w:rPr>
        <w:br/>
        <w:t>The contractor shall furnish and install the following OEM-brand equipment:</w:t>
      </w:r>
      <w:r w:rsidRPr="00FA28F2">
        <w:rPr>
          <w:rFonts w:ascii="Segoe UI" w:eastAsia="Times New Roman" w:hAnsi="Segoe UI" w:cs="Segoe UI"/>
          <w:kern w:val="0"/>
          <w:sz w:val="21"/>
          <w:szCs w:val="21"/>
          <w14:ligatures w14:val="none"/>
        </w:rPr>
        <w:br/>
        <w:t>• One FT</w:t>
      </w:r>
      <w:r w:rsidRPr="00FA28F2">
        <w:rPr>
          <w:rFonts w:ascii="Segoe UI" w:eastAsia="Times New Roman" w:hAnsi="Segoe UI" w:cs="Segoe UI"/>
          <w:kern w:val="0"/>
          <w:sz w:val="21"/>
          <w:szCs w:val="21"/>
          <w14:ligatures w14:val="none"/>
        </w:rPr>
        <w:noBreakHyphen/>
        <w:t>48 Mensch Severe-Duty Bar Screen</w:t>
      </w:r>
      <w:r w:rsidRPr="00FA28F2">
        <w:rPr>
          <w:rFonts w:ascii="Segoe UI" w:eastAsia="Times New Roman" w:hAnsi="Segoe UI" w:cs="Segoe UI"/>
          <w:kern w:val="0"/>
          <w:sz w:val="21"/>
          <w:szCs w:val="21"/>
          <w14:ligatures w14:val="none"/>
        </w:rPr>
        <w:br/>
        <w:t>• Two Vulcan EWP 250/1000 Washing Presses</w:t>
      </w:r>
      <w:r w:rsidRPr="00FA28F2">
        <w:rPr>
          <w:rFonts w:ascii="Segoe UI" w:eastAsia="Times New Roman" w:hAnsi="Segoe UI" w:cs="Segoe UI"/>
          <w:kern w:val="0"/>
          <w:sz w:val="21"/>
          <w:szCs w:val="21"/>
          <w14:ligatures w14:val="none"/>
        </w:rPr>
        <w:br/>
        <w:t>• Two ESR</w:t>
      </w:r>
      <w:r w:rsidRPr="00FA28F2">
        <w:rPr>
          <w:rFonts w:ascii="Segoe UI" w:eastAsia="Times New Roman" w:hAnsi="Segoe UI" w:cs="Segoe UI"/>
          <w:kern w:val="0"/>
          <w:sz w:val="21"/>
          <w:szCs w:val="21"/>
          <w14:ligatures w14:val="none"/>
        </w:rPr>
        <w:noBreakHyphen/>
        <w:t>34 or ESR</w:t>
      </w:r>
      <w:r w:rsidRPr="00FA28F2">
        <w:rPr>
          <w:rFonts w:ascii="Segoe UI" w:eastAsia="Times New Roman" w:hAnsi="Segoe UI" w:cs="Segoe UI"/>
          <w:kern w:val="0"/>
          <w:sz w:val="21"/>
          <w:szCs w:val="21"/>
          <w14:ligatures w14:val="none"/>
        </w:rPr>
        <w:noBreakHyphen/>
        <w:t>28 Stair-Type Fine Screens</w:t>
      </w:r>
      <w:r w:rsidRPr="00FA28F2">
        <w:rPr>
          <w:rFonts w:ascii="Segoe UI" w:eastAsia="Times New Roman" w:hAnsi="Segoe UI" w:cs="Segoe UI"/>
          <w:kern w:val="0"/>
          <w:sz w:val="21"/>
          <w:szCs w:val="21"/>
          <w14:ligatures w14:val="none"/>
        </w:rPr>
        <w:br/>
        <w:t>• All associated OEM wear parts, control panels, removal and installation labor, testing, commissioning, and training</w:t>
      </w:r>
      <w:r w:rsidRPr="00FA28F2">
        <w:rPr>
          <w:rFonts w:ascii="Segoe UI" w:eastAsia="Times New Roman" w:hAnsi="Segoe UI" w:cs="Segoe UI"/>
          <w:kern w:val="0"/>
          <w:sz w:val="21"/>
          <w:szCs w:val="21"/>
          <w14:ligatures w14:val="none"/>
        </w:rPr>
        <w:br/>
        <w:t>(citations: turn1search3, turn1search2)</w:t>
      </w:r>
    </w:p>
    <w:p w14:paraId="0FD92A05" w14:textId="77777777" w:rsidR="00FA28F2" w:rsidRPr="00FA28F2" w:rsidRDefault="00FA28F2" w:rsidP="00FA28F2">
      <w:pPr>
        <w:spacing w:before="100" w:beforeAutospacing="1" w:after="100" w:afterAutospacing="1" w:line="300" w:lineRule="atLeast"/>
        <w:rPr>
          <w:rFonts w:ascii="Segoe UI" w:eastAsia="Times New Roman" w:hAnsi="Segoe UI" w:cs="Segoe UI"/>
          <w:kern w:val="0"/>
          <w:sz w:val="21"/>
          <w:szCs w:val="21"/>
          <w14:ligatures w14:val="none"/>
        </w:rPr>
      </w:pPr>
      <w:r w:rsidRPr="00FA28F2">
        <w:rPr>
          <w:rFonts w:ascii="Segoe UI" w:eastAsia="Times New Roman" w:hAnsi="Segoe UI" w:cs="Segoe UI"/>
          <w:kern w:val="0"/>
          <w:sz w:val="21"/>
          <w:szCs w:val="21"/>
          <w14:ligatures w14:val="none"/>
        </w:rPr>
        <w:t>Equipment must match existing NIWTP headworks configuration, including channel geometry, hydraulic profiles, electrical panels, mounting interfaces, and integration with existing screw conveyors and SCADA systems. The PWS repeatedly states “match existing” and “replace in-kind.”</w:t>
      </w:r>
      <w:r w:rsidRPr="00FA28F2">
        <w:rPr>
          <w:rFonts w:ascii="Segoe UI" w:eastAsia="Times New Roman" w:hAnsi="Segoe UI" w:cs="Segoe UI"/>
          <w:kern w:val="0"/>
          <w:sz w:val="21"/>
          <w:szCs w:val="21"/>
          <w14:ligatures w14:val="none"/>
        </w:rPr>
        <w:br/>
        <w:t>(citations: turn1search3)</w:t>
      </w:r>
    </w:p>
    <w:p w14:paraId="192DB2BF" w14:textId="77777777" w:rsidR="00FA28F2" w:rsidRPr="00FA28F2" w:rsidRDefault="00FA28F2" w:rsidP="00FA28F2">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FA28F2">
        <w:rPr>
          <w:rFonts w:ascii="Segoe UI" w:eastAsia="Times New Roman" w:hAnsi="Segoe UI" w:cs="Segoe UI"/>
          <w:kern w:val="0"/>
          <w:sz w:val="21"/>
          <w:szCs w:val="21"/>
          <w14:ligatures w14:val="none"/>
        </w:rPr>
        <w:lastRenderedPageBreak/>
        <w:t>AUTHORITY</w:t>
      </w:r>
      <w:r w:rsidRPr="00FA28F2">
        <w:rPr>
          <w:rFonts w:ascii="Segoe UI" w:eastAsia="Times New Roman" w:hAnsi="Segoe UI" w:cs="Segoe UI"/>
          <w:kern w:val="0"/>
          <w:sz w:val="21"/>
          <w:szCs w:val="21"/>
          <w14:ligatures w14:val="none"/>
        </w:rPr>
        <w:br/>
        <w:t>FAR 11.105 – Items Peculiar to One Manufacturer.</w:t>
      </w:r>
      <w:r w:rsidRPr="00FA28F2">
        <w:rPr>
          <w:rFonts w:ascii="Segoe UI" w:eastAsia="Times New Roman" w:hAnsi="Segoe UI" w:cs="Segoe UI"/>
          <w:kern w:val="0"/>
          <w:sz w:val="21"/>
          <w:szCs w:val="21"/>
          <w14:ligatures w14:val="none"/>
        </w:rPr>
        <w:br/>
        <w:t>This authority permits brand-name purchases when only one manufacturer’s items can meet the Government’s minimum needs.</w:t>
      </w:r>
    </w:p>
    <w:p w14:paraId="092F1452" w14:textId="77777777" w:rsidR="00FA28F2" w:rsidRPr="00FA28F2" w:rsidRDefault="00FA28F2" w:rsidP="00FA28F2">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FA28F2">
        <w:rPr>
          <w:rFonts w:ascii="Segoe UI" w:eastAsia="Times New Roman" w:hAnsi="Segoe UI" w:cs="Segoe UI"/>
          <w:kern w:val="0"/>
          <w:sz w:val="21"/>
          <w:szCs w:val="21"/>
          <w14:ligatures w14:val="none"/>
        </w:rPr>
        <w:t>JUSTIFICATION FOR USING BRAND NAME ITEMS</w:t>
      </w:r>
      <w:r w:rsidRPr="00FA28F2">
        <w:rPr>
          <w:rFonts w:ascii="Segoe UI" w:eastAsia="Times New Roman" w:hAnsi="Segoe UI" w:cs="Segoe UI"/>
          <w:kern w:val="0"/>
          <w:sz w:val="21"/>
          <w:szCs w:val="21"/>
          <w14:ligatures w14:val="none"/>
        </w:rPr>
        <w:br/>
        <w:t>A. Unique Dimensional Compatibility</w:t>
      </w:r>
      <w:r w:rsidRPr="00FA28F2">
        <w:rPr>
          <w:rFonts w:ascii="Segoe UI" w:eastAsia="Times New Roman" w:hAnsi="Segoe UI" w:cs="Segoe UI"/>
          <w:kern w:val="0"/>
          <w:sz w:val="21"/>
          <w:szCs w:val="21"/>
          <w14:ligatures w14:val="none"/>
        </w:rPr>
        <w:br/>
        <w:t xml:space="preserve">NIWTP headworks equipment is installed in fixed 4' x 7' concrete channels designed specifically for Mensch, Vulcan, and ESR OEM models. Required angles (80 degrees for coarse screens and 57 degrees for fine screens), discharge heights, hydraulic capacities (20 MGD), and </w:t>
      </w:r>
      <w:proofErr w:type="gramStart"/>
      <w:r w:rsidRPr="00FA28F2">
        <w:rPr>
          <w:rFonts w:ascii="Segoe UI" w:eastAsia="Times New Roman" w:hAnsi="Segoe UI" w:cs="Segoe UI"/>
          <w:kern w:val="0"/>
          <w:sz w:val="21"/>
          <w:szCs w:val="21"/>
          <w14:ligatures w14:val="none"/>
        </w:rPr>
        <w:t>stainless steel</w:t>
      </w:r>
      <w:proofErr w:type="gramEnd"/>
      <w:r w:rsidRPr="00FA28F2">
        <w:rPr>
          <w:rFonts w:ascii="Segoe UI" w:eastAsia="Times New Roman" w:hAnsi="Segoe UI" w:cs="Segoe UI"/>
          <w:kern w:val="0"/>
          <w:sz w:val="21"/>
          <w:szCs w:val="21"/>
          <w14:ligatures w14:val="none"/>
        </w:rPr>
        <w:t xml:space="preserve"> construction must match existing OEM specifications.</w:t>
      </w:r>
      <w:r w:rsidRPr="00FA28F2">
        <w:rPr>
          <w:rFonts w:ascii="Segoe UI" w:eastAsia="Times New Roman" w:hAnsi="Segoe UI" w:cs="Segoe UI"/>
          <w:kern w:val="0"/>
          <w:sz w:val="21"/>
          <w:szCs w:val="21"/>
          <w14:ligatures w14:val="none"/>
        </w:rPr>
        <w:br/>
        <w:t>(citations: turn1search3)</w:t>
      </w:r>
    </w:p>
    <w:p w14:paraId="6E2B337A" w14:textId="77777777" w:rsidR="00FA28F2" w:rsidRPr="00FA28F2" w:rsidRDefault="00FA28F2" w:rsidP="00FA28F2">
      <w:pPr>
        <w:spacing w:before="100" w:beforeAutospacing="1" w:after="100" w:afterAutospacing="1" w:line="300" w:lineRule="atLeast"/>
        <w:rPr>
          <w:rFonts w:ascii="Segoe UI" w:eastAsia="Times New Roman" w:hAnsi="Segoe UI" w:cs="Segoe UI"/>
          <w:kern w:val="0"/>
          <w:sz w:val="21"/>
          <w:szCs w:val="21"/>
          <w14:ligatures w14:val="none"/>
        </w:rPr>
      </w:pPr>
      <w:r w:rsidRPr="00FA28F2">
        <w:rPr>
          <w:rFonts w:ascii="Segoe UI" w:eastAsia="Times New Roman" w:hAnsi="Segoe UI" w:cs="Segoe UI"/>
          <w:kern w:val="0"/>
          <w:sz w:val="21"/>
          <w:szCs w:val="21"/>
          <w14:ligatures w14:val="none"/>
        </w:rPr>
        <w:t>No other manufacturer produces equipment dimensionally compatible with NIWTP’s channels, mounting interfaces, or hydraulic characteristics.</w:t>
      </w:r>
      <w:r w:rsidRPr="00FA28F2">
        <w:rPr>
          <w:rFonts w:ascii="Segoe UI" w:eastAsia="Times New Roman" w:hAnsi="Segoe UI" w:cs="Segoe UI"/>
          <w:kern w:val="0"/>
          <w:sz w:val="21"/>
          <w:szCs w:val="21"/>
          <w14:ligatures w14:val="none"/>
        </w:rPr>
        <w:br/>
        <w:t>(citations: turn1search1)</w:t>
      </w:r>
    </w:p>
    <w:p w14:paraId="0A62B72D" w14:textId="77777777" w:rsidR="00FA28F2" w:rsidRPr="00FA28F2" w:rsidRDefault="00FA28F2" w:rsidP="00FA28F2">
      <w:pPr>
        <w:spacing w:before="100" w:beforeAutospacing="1" w:after="100" w:afterAutospacing="1" w:line="300" w:lineRule="atLeast"/>
        <w:rPr>
          <w:rFonts w:ascii="Segoe UI" w:eastAsia="Times New Roman" w:hAnsi="Segoe UI" w:cs="Segoe UI"/>
          <w:kern w:val="0"/>
          <w:sz w:val="21"/>
          <w:szCs w:val="21"/>
          <w14:ligatures w14:val="none"/>
        </w:rPr>
      </w:pPr>
      <w:r w:rsidRPr="00FA28F2">
        <w:rPr>
          <w:rFonts w:ascii="Segoe UI" w:eastAsia="Times New Roman" w:hAnsi="Segoe UI" w:cs="Segoe UI"/>
          <w:kern w:val="0"/>
          <w:sz w:val="21"/>
          <w:szCs w:val="21"/>
          <w14:ligatures w14:val="none"/>
        </w:rPr>
        <w:t>B. Structural and Hydraulic Integration</w:t>
      </w:r>
      <w:r w:rsidRPr="00FA28F2">
        <w:rPr>
          <w:rFonts w:ascii="Segoe UI" w:eastAsia="Times New Roman" w:hAnsi="Segoe UI" w:cs="Segoe UI"/>
          <w:kern w:val="0"/>
          <w:sz w:val="21"/>
          <w:szCs w:val="21"/>
          <w14:ligatures w14:val="none"/>
        </w:rPr>
        <w:br/>
        <w:t>The NOI states that replacing OEM equipment with alternatives would require:</w:t>
      </w:r>
      <w:r w:rsidRPr="00FA28F2">
        <w:rPr>
          <w:rFonts w:ascii="Segoe UI" w:eastAsia="Times New Roman" w:hAnsi="Segoe UI" w:cs="Segoe UI"/>
          <w:kern w:val="0"/>
          <w:sz w:val="21"/>
          <w:szCs w:val="21"/>
          <w14:ligatures w14:val="none"/>
        </w:rPr>
        <w:br/>
        <w:t>• Reconstruction of concrete channels</w:t>
      </w:r>
      <w:r w:rsidRPr="00FA28F2">
        <w:rPr>
          <w:rFonts w:ascii="Segoe UI" w:eastAsia="Times New Roman" w:hAnsi="Segoe UI" w:cs="Segoe UI"/>
          <w:kern w:val="0"/>
          <w:sz w:val="21"/>
          <w:szCs w:val="21"/>
          <w14:ligatures w14:val="none"/>
        </w:rPr>
        <w:br/>
        <w:t>• Replacement of screw conveyors</w:t>
      </w:r>
      <w:r w:rsidRPr="00FA28F2">
        <w:rPr>
          <w:rFonts w:ascii="Segoe UI" w:eastAsia="Times New Roman" w:hAnsi="Segoe UI" w:cs="Segoe UI"/>
          <w:kern w:val="0"/>
          <w:sz w:val="21"/>
          <w:szCs w:val="21"/>
          <w14:ligatures w14:val="none"/>
        </w:rPr>
        <w:br/>
        <w:t>• Reengineering of hydraulic flow profiles</w:t>
      </w:r>
      <w:r w:rsidRPr="00FA28F2">
        <w:rPr>
          <w:rFonts w:ascii="Segoe UI" w:eastAsia="Times New Roman" w:hAnsi="Segoe UI" w:cs="Segoe UI"/>
          <w:kern w:val="0"/>
          <w:sz w:val="21"/>
          <w:szCs w:val="21"/>
          <w14:ligatures w14:val="none"/>
        </w:rPr>
        <w:br/>
        <w:t>• Realignment of mechanical drive interfaces</w:t>
      </w:r>
      <w:r w:rsidRPr="00FA28F2">
        <w:rPr>
          <w:rFonts w:ascii="Segoe UI" w:eastAsia="Times New Roman" w:hAnsi="Segoe UI" w:cs="Segoe UI"/>
          <w:kern w:val="0"/>
          <w:sz w:val="21"/>
          <w:szCs w:val="21"/>
          <w14:ligatures w14:val="none"/>
        </w:rPr>
        <w:br/>
        <w:t>(citations: turn1search2)</w:t>
      </w:r>
    </w:p>
    <w:p w14:paraId="0819E389" w14:textId="77777777" w:rsidR="00FA28F2" w:rsidRPr="00FA28F2" w:rsidRDefault="00FA28F2" w:rsidP="00FA28F2">
      <w:pPr>
        <w:spacing w:before="100" w:beforeAutospacing="1" w:after="100" w:afterAutospacing="1" w:line="300" w:lineRule="atLeast"/>
        <w:rPr>
          <w:rFonts w:ascii="Segoe UI" w:eastAsia="Times New Roman" w:hAnsi="Segoe UI" w:cs="Segoe UI"/>
          <w:kern w:val="0"/>
          <w:sz w:val="21"/>
          <w:szCs w:val="21"/>
          <w14:ligatures w14:val="none"/>
        </w:rPr>
      </w:pPr>
      <w:r w:rsidRPr="00FA28F2">
        <w:rPr>
          <w:rFonts w:ascii="Segoe UI" w:eastAsia="Times New Roman" w:hAnsi="Segoe UI" w:cs="Segoe UI"/>
          <w:kern w:val="0"/>
          <w:sz w:val="21"/>
          <w:szCs w:val="21"/>
          <w14:ligatures w14:val="none"/>
        </w:rPr>
        <w:t>These redesign requirements would result in excessive cost, extended downtime, and significant operational risk.</w:t>
      </w:r>
    </w:p>
    <w:p w14:paraId="643ABC5C" w14:textId="77777777" w:rsidR="00FA28F2" w:rsidRPr="00FA28F2" w:rsidRDefault="00FA28F2" w:rsidP="00FA28F2">
      <w:pPr>
        <w:spacing w:before="100" w:beforeAutospacing="1" w:after="100" w:afterAutospacing="1" w:line="300" w:lineRule="atLeast"/>
        <w:rPr>
          <w:rFonts w:ascii="Segoe UI" w:eastAsia="Times New Roman" w:hAnsi="Segoe UI" w:cs="Segoe UI"/>
          <w:kern w:val="0"/>
          <w:sz w:val="21"/>
          <w:szCs w:val="21"/>
          <w14:ligatures w14:val="none"/>
        </w:rPr>
      </w:pPr>
      <w:r w:rsidRPr="00FA28F2">
        <w:rPr>
          <w:rFonts w:ascii="Segoe UI" w:eastAsia="Times New Roman" w:hAnsi="Segoe UI" w:cs="Segoe UI"/>
          <w:kern w:val="0"/>
          <w:sz w:val="21"/>
          <w:szCs w:val="21"/>
          <w14:ligatures w14:val="none"/>
        </w:rPr>
        <w:t>C. Control System and SCADA Compatibility</w:t>
      </w:r>
      <w:r w:rsidRPr="00FA28F2">
        <w:rPr>
          <w:rFonts w:ascii="Segoe UI" w:eastAsia="Times New Roman" w:hAnsi="Segoe UI" w:cs="Segoe UI"/>
          <w:kern w:val="0"/>
          <w:sz w:val="21"/>
          <w:szCs w:val="21"/>
          <w14:ligatures w14:val="none"/>
        </w:rPr>
        <w:br/>
        <w:t>Existing NIWTP equipment uses:</w:t>
      </w:r>
      <w:r w:rsidRPr="00FA28F2">
        <w:rPr>
          <w:rFonts w:ascii="Segoe UI" w:eastAsia="Times New Roman" w:hAnsi="Segoe UI" w:cs="Segoe UI"/>
          <w:kern w:val="0"/>
          <w:sz w:val="21"/>
          <w:szCs w:val="21"/>
          <w14:ligatures w14:val="none"/>
        </w:rPr>
        <w:br/>
        <w:t>• NEMA 4X and NEMA 7 panels</w:t>
      </w:r>
      <w:r w:rsidRPr="00FA28F2">
        <w:rPr>
          <w:rFonts w:ascii="Segoe UI" w:eastAsia="Times New Roman" w:hAnsi="Segoe UI" w:cs="Segoe UI"/>
          <w:kern w:val="0"/>
          <w:sz w:val="21"/>
          <w:szCs w:val="21"/>
          <w14:ligatures w14:val="none"/>
        </w:rPr>
        <w:br/>
        <w:t>• OEM-specific electrical configurations</w:t>
      </w:r>
      <w:r w:rsidRPr="00FA28F2">
        <w:rPr>
          <w:rFonts w:ascii="Segoe UI" w:eastAsia="Times New Roman" w:hAnsi="Segoe UI" w:cs="Segoe UI"/>
          <w:kern w:val="0"/>
          <w:sz w:val="21"/>
          <w:szCs w:val="21"/>
          <w14:ligatures w14:val="none"/>
        </w:rPr>
        <w:br/>
        <w:t>• SCADA integration engineered specifically for OEM equipment</w:t>
      </w:r>
      <w:r w:rsidRPr="00FA28F2">
        <w:rPr>
          <w:rFonts w:ascii="Segoe UI" w:eastAsia="Times New Roman" w:hAnsi="Segoe UI" w:cs="Segoe UI"/>
          <w:kern w:val="0"/>
          <w:sz w:val="21"/>
          <w:szCs w:val="21"/>
          <w14:ligatures w14:val="none"/>
        </w:rPr>
        <w:br/>
        <w:t>(citations: turn1search3)</w:t>
      </w:r>
    </w:p>
    <w:p w14:paraId="3C58FB1A" w14:textId="77777777" w:rsidR="00FA28F2" w:rsidRPr="00FA28F2" w:rsidRDefault="00FA28F2" w:rsidP="00FA28F2">
      <w:pPr>
        <w:spacing w:before="100" w:beforeAutospacing="1" w:after="100" w:afterAutospacing="1" w:line="300" w:lineRule="atLeast"/>
        <w:rPr>
          <w:rFonts w:ascii="Segoe UI" w:eastAsia="Times New Roman" w:hAnsi="Segoe UI" w:cs="Segoe UI"/>
          <w:kern w:val="0"/>
          <w:sz w:val="21"/>
          <w:szCs w:val="21"/>
          <w14:ligatures w14:val="none"/>
        </w:rPr>
      </w:pPr>
      <w:r w:rsidRPr="00FA28F2">
        <w:rPr>
          <w:rFonts w:ascii="Segoe UI" w:eastAsia="Times New Roman" w:hAnsi="Segoe UI" w:cs="Segoe UI"/>
          <w:kern w:val="0"/>
          <w:sz w:val="21"/>
          <w:szCs w:val="21"/>
          <w14:ligatures w14:val="none"/>
        </w:rPr>
        <w:t>The NOI states that non-OEM equipment would require complete SCADA reintegration and replacement of electrical control panels.</w:t>
      </w:r>
      <w:r w:rsidRPr="00FA28F2">
        <w:rPr>
          <w:rFonts w:ascii="Segoe UI" w:eastAsia="Times New Roman" w:hAnsi="Segoe UI" w:cs="Segoe UI"/>
          <w:kern w:val="0"/>
          <w:sz w:val="21"/>
          <w:szCs w:val="21"/>
          <w14:ligatures w14:val="none"/>
        </w:rPr>
        <w:br/>
        <w:t>(citations: turn1search2)</w:t>
      </w:r>
    </w:p>
    <w:p w14:paraId="3CA5DA94" w14:textId="77777777" w:rsidR="00FA28F2" w:rsidRPr="00FA28F2" w:rsidRDefault="00FA28F2" w:rsidP="00FA28F2">
      <w:pPr>
        <w:spacing w:before="100" w:beforeAutospacing="1" w:after="100" w:afterAutospacing="1" w:line="300" w:lineRule="atLeast"/>
        <w:rPr>
          <w:rFonts w:ascii="Segoe UI" w:eastAsia="Times New Roman" w:hAnsi="Segoe UI" w:cs="Segoe UI"/>
          <w:kern w:val="0"/>
          <w:sz w:val="21"/>
          <w:szCs w:val="21"/>
          <w14:ligatures w14:val="none"/>
        </w:rPr>
      </w:pPr>
      <w:r w:rsidRPr="00FA28F2">
        <w:rPr>
          <w:rFonts w:ascii="Segoe UI" w:eastAsia="Times New Roman" w:hAnsi="Segoe UI" w:cs="Segoe UI"/>
          <w:kern w:val="0"/>
          <w:sz w:val="21"/>
          <w:szCs w:val="21"/>
          <w14:ligatures w14:val="none"/>
        </w:rPr>
        <w:t>D. Warranty Preservation</w:t>
      </w:r>
      <w:r w:rsidRPr="00FA28F2">
        <w:rPr>
          <w:rFonts w:ascii="Segoe UI" w:eastAsia="Times New Roman" w:hAnsi="Segoe UI" w:cs="Segoe UI"/>
          <w:kern w:val="0"/>
          <w:sz w:val="21"/>
          <w:szCs w:val="21"/>
          <w14:ligatures w14:val="none"/>
        </w:rPr>
        <w:br/>
        <w:t>NIWTP engineering staff confirmed that installing non-OEM screens or presses voids warranties for existing associated systems, including conveyors and controls.</w:t>
      </w:r>
      <w:r w:rsidRPr="00FA28F2">
        <w:rPr>
          <w:rFonts w:ascii="Segoe UI" w:eastAsia="Times New Roman" w:hAnsi="Segoe UI" w:cs="Segoe UI"/>
          <w:kern w:val="0"/>
          <w:sz w:val="21"/>
          <w:szCs w:val="21"/>
          <w14:ligatures w14:val="none"/>
        </w:rPr>
        <w:br/>
        <w:t>(citations: turn1search1)</w:t>
      </w:r>
    </w:p>
    <w:p w14:paraId="41BF3A34" w14:textId="77777777" w:rsidR="00FA28F2" w:rsidRPr="00FA28F2" w:rsidRDefault="00FA28F2" w:rsidP="00FA28F2">
      <w:pPr>
        <w:spacing w:before="100" w:beforeAutospacing="1" w:after="100" w:afterAutospacing="1" w:line="300" w:lineRule="atLeast"/>
        <w:rPr>
          <w:rFonts w:ascii="Segoe UI" w:eastAsia="Times New Roman" w:hAnsi="Segoe UI" w:cs="Segoe UI"/>
          <w:kern w:val="0"/>
          <w:sz w:val="21"/>
          <w:szCs w:val="21"/>
          <w14:ligatures w14:val="none"/>
        </w:rPr>
      </w:pPr>
      <w:r w:rsidRPr="00FA28F2">
        <w:rPr>
          <w:rFonts w:ascii="Segoe UI" w:eastAsia="Times New Roman" w:hAnsi="Segoe UI" w:cs="Segoe UI"/>
          <w:kern w:val="0"/>
          <w:sz w:val="21"/>
          <w:szCs w:val="21"/>
          <w14:ligatures w14:val="none"/>
        </w:rPr>
        <w:t>E. Market Research Results</w:t>
      </w:r>
      <w:r w:rsidRPr="00FA28F2">
        <w:rPr>
          <w:rFonts w:ascii="Segoe UI" w:eastAsia="Times New Roman" w:hAnsi="Segoe UI" w:cs="Segoe UI"/>
          <w:kern w:val="0"/>
          <w:sz w:val="21"/>
          <w:szCs w:val="21"/>
          <w14:ligatures w14:val="none"/>
        </w:rPr>
        <w:br/>
        <w:t>Market research identified several manufacturers (Huber, Parkson, Hydro-Dyne, JWC Environmental, Headworks Inc., Vulcan, Mensch). Only Vulcan, Mensch, and ESR OEMs manufacture equipment compatible with NIWTP’s fixed geometry, controls, and hydraulic requirements.</w:t>
      </w:r>
      <w:r w:rsidRPr="00FA28F2">
        <w:rPr>
          <w:rFonts w:ascii="Segoe UI" w:eastAsia="Times New Roman" w:hAnsi="Segoe UI" w:cs="Segoe UI"/>
          <w:kern w:val="0"/>
          <w:sz w:val="21"/>
          <w:szCs w:val="21"/>
          <w14:ligatures w14:val="none"/>
        </w:rPr>
        <w:br/>
        <w:t>(citations: turn1search1)</w:t>
      </w:r>
    </w:p>
    <w:p w14:paraId="6028BFF2" w14:textId="77777777" w:rsidR="00FA28F2" w:rsidRPr="00FA28F2" w:rsidRDefault="00FA28F2" w:rsidP="00FA28F2">
      <w:pPr>
        <w:spacing w:before="100" w:beforeAutospacing="1" w:after="100" w:afterAutospacing="1" w:line="300" w:lineRule="atLeast"/>
        <w:rPr>
          <w:rFonts w:ascii="Segoe UI" w:eastAsia="Times New Roman" w:hAnsi="Segoe UI" w:cs="Segoe UI"/>
          <w:kern w:val="0"/>
          <w:sz w:val="21"/>
          <w:szCs w:val="21"/>
          <w14:ligatures w14:val="none"/>
        </w:rPr>
      </w:pPr>
      <w:r w:rsidRPr="00FA28F2">
        <w:rPr>
          <w:rFonts w:ascii="Segoe UI" w:eastAsia="Times New Roman" w:hAnsi="Segoe UI" w:cs="Segoe UI"/>
          <w:kern w:val="0"/>
          <w:sz w:val="21"/>
          <w:szCs w:val="21"/>
          <w14:ligatures w14:val="none"/>
        </w:rPr>
        <w:t xml:space="preserve">Competing manufacturers produce similar screening </w:t>
      </w:r>
      <w:proofErr w:type="gramStart"/>
      <w:r w:rsidRPr="00FA28F2">
        <w:rPr>
          <w:rFonts w:ascii="Segoe UI" w:eastAsia="Times New Roman" w:hAnsi="Segoe UI" w:cs="Segoe UI"/>
          <w:kern w:val="0"/>
          <w:sz w:val="21"/>
          <w:szCs w:val="21"/>
          <w14:ligatures w14:val="none"/>
        </w:rPr>
        <w:t>systems</w:t>
      </w:r>
      <w:proofErr w:type="gramEnd"/>
      <w:r w:rsidRPr="00FA28F2">
        <w:rPr>
          <w:rFonts w:ascii="Segoe UI" w:eastAsia="Times New Roman" w:hAnsi="Segoe UI" w:cs="Segoe UI"/>
          <w:kern w:val="0"/>
          <w:sz w:val="21"/>
          <w:szCs w:val="21"/>
          <w14:ligatures w14:val="none"/>
        </w:rPr>
        <w:t xml:space="preserve"> but none produce dimensionally identical equipment.</w:t>
      </w:r>
      <w:r w:rsidRPr="00FA28F2">
        <w:rPr>
          <w:rFonts w:ascii="Segoe UI" w:eastAsia="Times New Roman" w:hAnsi="Segoe UI" w:cs="Segoe UI"/>
          <w:kern w:val="0"/>
          <w:sz w:val="21"/>
          <w:szCs w:val="21"/>
          <w14:ligatures w14:val="none"/>
        </w:rPr>
        <w:br/>
        <w:t>(citations: turn1search1)</w:t>
      </w:r>
    </w:p>
    <w:p w14:paraId="165885B4" w14:textId="77777777" w:rsidR="00FA28F2" w:rsidRPr="00FA28F2" w:rsidRDefault="00FA28F2" w:rsidP="00FA28F2">
      <w:pPr>
        <w:spacing w:before="100" w:beforeAutospacing="1" w:after="100" w:afterAutospacing="1" w:line="300" w:lineRule="atLeast"/>
        <w:rPr>
          <w:rFonts w:ascii="Segoe UI" w:eastAsia="Times New Roman" w:hAnsi="Segoe UI" w:cs="Segoe UI"/>
          <w:kern w:val="0"/>
          <w:sz w:val="21"/>
          <w:szCs w:val="21"/>
          <w14:ligatures w14:val="none"/>
        </w:rPr>
      </w:pPr>
      <w:r w:rsidRPr="00FA28F2">
        <w:rPr>
          <w:rFonts w:ascii="Segoe UI" w:eastAsia="Times New Roman" w:hAnsi="Segoe UI" w:cs="Segoe UI"/>
          <w:kern w:val="0"/>
          <w:sz w:val="21"/>
          <w:szCs w:val="21"/>
          <w14:ligatures w14:val="none"/>
        </w:rPr>
        <w:t>F. NOI Confirmation of OEM Exclusivity</w:t>
      </w:r>
      <w:r w:rsidRPr="00FA28F2">
        <w:rPr>
          <w:rFonts w:ascii="Segoe UI" w:eastAsia="Times New Roman" w:hAnsi="Segoe UI" w:cs="Segoe UI"/>
          <w:kern w:val="0"/>
          <w:sz w:val="21"/>
          <w:szCs w:val="21"/>
          <w14:ligatures w14:val="none"/>
        </w:rPr>
        <w:br/>
        <w:t>The Notice of Intent (NOI) states explicitly that the equipment required is manufactured exclusively by their respective OEMs and cannot be substituted without major facility redesign.</w:t>
      </w:r>
      <w:r w:rsidRPr="00FA28F2">
        <w:rPr>
          <w:rFonts w:ascii="Segoe UI" w:eastAsia="Times New Roman" w:hAnsi="Segoe UI" w:cs="Segoe UI"/>
          <w:kern w:val="0"/>
          <w:sz w:val="21"/>
          <w:szCs w:val="21"/>
          <w14:ligatures w14:val="none"/>
        </w:rPr>
        <w:br/>
        <w:t>(citations: turn1search2)</w:t>
      </w:r>
    </w:p>
    <w:p w14:paraId="5D0DF540" w14:textId="77777777" w:rsidR="00FA28F2" w:rsidRPr="00FA28F2" w:rsidRDefault="00FA28F2" w:rsidP="00FA28F2">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FA28F2">
        <w:rPr>
          <w:rFonts w:ascii="Segoe UI" w:eastAsia="Times New Roman" w:hAnsi="Segoe UI" w:cs="Segoe UI"/>
          <w:kern w:val="0"/>
          <w:sz w:val="21"/>
          <w:szCs w:val="21"/>
          <w14:ligatures w14:val="none"/>
        </w:rPr>
        <w:t>EFFORTS TO SOLICIT COMPETITION</w:t>
      </w:r>
      <w:r w:rsidRPr="00FA28F2">
        <w:rPr>
          <w:rFonts w:ascii="Segoe UI" w:eastAsia="Times New Roman" w:hAnsi="Segoe UI" w:cs="Segoe UI"/>
          <w:kern w:val="0"/>
          <w:sz w:val="21"/>
          <w:szCs w:val="21"/>
          <w14:ligatures w14:val="none"/>
        </w:rPr>
        <w:br/>
        <w:t>The Government will issue a Notice of Intent (NOI) in SAM.gov offering any interested vendor the opportunity to demonstrate ability to provide brand-name OEM equipment or OEM-authorized supply.</w:t>
      </w:r>
      <w:r w:rsidRPr="00FA28F2">
        <w:rPr>
          <w:rFonts w:ascii="Segoe UI" w:eastAsia="Times New Roman" w:hAnsi="Segoe UI" w:cs="Segoe UI"/>
          <w:kern w:val="0"/>
          <w:sz w:val="21"/>
          <w:szCs w:val="21"/>
          <w14:ligatures w14:val="none"/>
        </w:rPr>
        <w:br/>
        <w:t>(citations: turn1search2)</w:t>
      </w:r>
    </w:p>
    <w:p w14:paraId="7B866E30" w14:textId="77777777" w:rsidR="00FA28F2" w:rsidRPr="00FA28F2" w:rsidRDefault="00FA28F2" w:rsidP="00FA28F2">
      <w:pPr>
        <w:spacing w:before="100" w:beforeAutospacing="1" w:after="100" w:afterAutospacing="1" w:line="300" w:lineRule="atLeast"/>
        <w:rPr>
          <w:rFonts w:ascii="Segoe UI" w:eastAsia="Times New Roman" w:hAnsi="Segoe UI" w:cs="Segoe UI"/>
          <w:kern w:val="0"/>
          <w:sz w:val="21"/>
          <w:szCs w:val="21"/>
          <w14:ligatures w14:val="none"/>
        </w:rPr>
      </w:pPr>
      <w:r w:rsidRPr="00FA28F2">
        <w:rPr>
          <w:rFonts w:ascii="Segoe UI" w:eastAsia="Times New Roman" w:hAnsi="Segoe UI" w:cs="Segoe UI"/>
          <w:kern w:val="0"/>
          <w:sz w:val="21"/>
          <w:szCs w:val="21"/>
          <w14:ligatures w14:val="none"/>
        </w:rPr>
        <w:t>Given NIWTP’s dimensional and functional constraints, it is highly unlikely any vendor outside the OEM or its authorized distributor network can meet the requirement.</w:t>
      </w:r>
    </w:p>
    <w:p w14:paraId="6F3E34C0" w14:textId="77777777" w:rsidR="00FA28F2" w:rsidRPr="00FA28F2" w:rsidRDefault="00FA28F2" w:rsidP="00FA28F2">
      <w:pPr>
        <w:spacing w:before="100" w:beforeAutospacing="1" w:after="100" w:afterAutospacing="1" w:line="300" w:lineRule="atLeast"/>
        <w:rPr>
          <w:rFonts w:ascii="Segoe UI" w:eastAsia="Times New Roman" w:hAnsi="Segoe UI" w:cs="Segoe UI"/>
          <w:kern w:val="0"/>
          <w:sz w:val="21"/>
          <w:szCs w:val="21"/>
          <w14:ligatures w14:val="none"/>
        </w:rPr>
      </w:pPr>
      <w:r w:rsidRPr="00FA28F2">
        <w:rPr>
          <w:rFonts w:ascii="Segoe UI" w:eastAsia="Times New Roman" w:hAnsi="Segoe UI" w:cs="Segoe UI"/>
          <w:kern w:val="0"/>
          <w:sz w:val="21"/>
          <w:szCs w:val="21"/>
          <w14:ligatures w14:val="none"/>
        </w:rPr>
        <w:t>This Brand Name Only J&amp;A does not prevent competition among OEM-authorized sources if any exist, but no equivalently capable manufacturers have been identified.</w:t>
      </w:r>
    </w:p>
    <w:p w14:paraId="407A99C5" w14:textId="77777777" w:rsidR="00FA28F2" w:rsidRPr="00FA28F2" w:rsidRDefault="00FA28F2" w:rsidP="00FA28F2">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FA28F2">
        <w:rPr>
          <w:rFonts w:ascii="Segoe UI" w:eastAsia="Times New Roman" w:hAnsi="Segoe UI" w:cs="Segoe UI"/>
          <w:kern w:val="0"/>
          <w:sz w:val="21"/>
          <w:szCs w:val="21"/>
          <w14:ligatures w14:val="none"/>
        </w:rPr>
        <w:t>MARKET RESEARCH SUMMARY</w:t>
      </w:r>
      <w:r w:rsidRPr="00FA28F2">
        <w:rPr>
          <w:rFonts w:ascii="Segoe UI" w:eastAsia="Times New Roman" w:hAnsi="Segoe UI" w:cs="Segoe UI"/>
          <w:kern w:val="0"/>
          <w:sz w:val="21"/>
          <w:szCs w:val="21"/>
          <w14:ligatures w14:val="none"/>
        </w:rPr>
        <w:br/>
        <w:t>Market research included:</w:t>
      </w:r>
      <w:r w:rsidRPr="00FA28F2">
        <w:rPr>
          <w:rFonts w:ascii="Segoe UI" w:eastAsia="Times New Roman" w:hAnsi="Segoe UI" w:cs="Segoe UI"/>
          <w:kern w:val="0"/>
          <w:sz w:val="21"/>
          <w:szCs w:val="21"/>
          <w14:ligatures w14:val="none"/>
        </w:rPr>
        <w:br/>
        <w:t>• Review of PWS specifications</w:t>
      </w:r>
      <w:r w:rsidRPr="00FA28F2">
        <w:rPr>
          <w:rFonts w:ascii="Segoe UI" w:eastAsia="Times New Roman" w:hAnsi="Segoe UI" w:cs="Segoe UI"/>
          <w:kern w:val="0"/>
          <w:sz w:val="21"/>
          <w:szCs w:val="21"/>
          <w14:ligatures w14:val="none"/>
        </w:rPr>
        <w:br/>
        <w:t>• IGE analysis</w:t>
      </w:r>
      <w:r w:rsidRPr="00FA28F2">
        <w:rPr>
          <w:rFonts w:ascii="Segoe UI" w:eastAsia="Times New Roman" w:hAnsi="Segoe UI" w:cs="Segoe UI"/>
          <w:kern w:val="0"/>
          <w:sz w:val="21"/>
          <w:szCs w:val="21"/>
          <w14:ligatures w14:val="none"/>
        </w:rPr>
        <w:br/>
        <w:t>• Manufacturer capability analysis</w:t>
      </w:r>
      <w:r w:rsidRPr="00FA28F2">
        <w:rPr>
          <w:rFonts w:ascii="Segoe UI" w:eastAsia="Times New Roman" w:hAnsi="Segoe UI" w:cs="Segoe UI"/>
          <w:kern w:val="0"/>
          <w:sz w:val="21"/>
          <w:szCs w:val="21"/>
          <w14:ligatures w14:val="none"/>
        </w:rPr>
        <w:br/>
        <w:t>• Industry survey</w:t>
      </w:r>
      <w:r w:rsidRPr="00FA28F2">
        <w:rPr>
          <w:rFonts w:ascii="Segoe UI" w:eastAsia="Times New Roman" w:hAnsi="Segoe UI" w:cs="Segoe UI"/>
          <w:kern w:val="0"/>
          <w:sz w:val="21"/>
          <w:szCs w:val="21"/>
          <w14:ligatures w14:val="none"/>
        </w:rPr>
        <w:br/>
        <w:t>• Engineering interviews</w:t>
      </w:r>
      <w:r w:rsidRPr="00FA28F2">
        <w:rPr>
          <w:rFonts w:ascii="Segoe UI" w:eastAsia="Times New Roman" w:hAnsi="Segoe UI" w:cs="Segoe UI"/>
          <w:kern w:val="0"/>
          <w:sz w:val="21"/>
          <w:szCs w:val="21"/>
          <w14:ligatures w14:val="none"/>
        </w:rPr>
        <w:br/>
        <w:t>• Review of NOI findings</w:t>
      </w:r>
      <w:r w:rsidRPr="00FA28F2">
        <w:rPr>
          <w:rFonts w:ascii="Segoe UI" w:eastAsia="Times New Roman" w:hAnsi="Segoe UI" w:cs="Segoe UI"/>
          <w:kern w:val="0"/>
          <w:sz w:val="21"/>
          <w:szCs w:val="21"/>
          <w14:ligatures w14:val="none"/>
        </w:rPr>
        <w:br/>
        <w:t>(citations: turn1search1, turn1search3, turn1search2)</w:t>
      </w:r>
    </w:p>
    <w:p w14:paraId="3A69E353" w14:textId="77777777" w:rsidR="00FA28F2" w:rsidRPr="00FA28F2" w:rsidRDefault="00FA28F2" w:rsidP="00FA28F2">
      <w:pPr>
        <w:spacing w:before="100" w:beforeAutospacing="1" w:after="100" w:afterAutospacing="1" w:line="300" w:lineRule="atLeast"/>
        <w:rPr>
          <w:rFonts w:ascii="Segoe UI" w:eastAsia="Times New Roman" w:hAnsi="Segoe UI" w:cs="Segoe UI"/>
          <w:kern w:val="0"/>
          <w:sz w:val="21"/>
          <w:szCs w:val="21"/>
          <w14:ligatures w14:val="none"/>
        </w:rPr>
      </w:pPr>
      <w:r w:rsidRPr="00FA28F2">
        <w:rPr>
          <w:rFonts w:ascii="Segoe UI" w:eastAsia="Times New Roman" w:hAnsi="Segoe UI" w:cs="Segoe UI"/>
          <w:kern w:val="0"/>
          <w:sz w:val="21"/>
          <w:szCs w:val="21"/>
          <w14:ligatures w14:val="none"/>
        </w:rPr>
        <w:t>The conclusion is that only Mensch, Vulcan, and ESR OEM products meet the minimum functional requirements.</w:t>
      </w:r>
    </w:p>
    <w:p w14:paraId="0B42A8F1" w14:textId="77777777" w:rsidR="00FA28F2" w:rsidRPr="00FA28F2" w:rsidRDefault="00FA28F2" w:rsidP="00FA28F2">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r w:rsidRPr="00FA28F2">
        <w:rPr>
          <w:rFonts w:ascii="Segoe UI" w:eastAsia="Times New Roman" w:hAnsi="Segoe UI" w:cs="Segoe UI"/>
          <w:kern w:val="0"/>
          <w:sz w:val="21"/>
          <w:szCs w:val="21"/>
          <w14:ligatures w14:val="none"/>
        </w:rPr>
        <w:t>IMPACT IF NON-BRAND NAME ITEMS ARE USED</w:t>
      </w:r>
      <w:r w:rsidRPr="00FA28F2">
        <w:rPr>
          <w:rFonts w:ascii="Segoe UI" w:eastAsia="Times New Roman" w:hAnsi="Segoe UI" w:cs="Segoe UI"/>
          <w:kern w:val="0"/>
          <w:sz w:val="21"/>
          <w:szCs w:val="21"/>
          <w14:ligatures w14:val="none"/>
        </w:rPr>
        <w:br/>
        <w:t>Using non-brand-name equipment would require:</w:t>
      </w:r>
      <w:r w:rsidRPr="00FA28F2">
        <w:rPr>
          <w:rFonts w:ascii="Segoe UI" w:eastAsia="Times New Roman" w:hAnsi="Segoe UI" w:cs="Segoe UI"/>
          <w:kern w:val="0"/>
          <w:sz w:val="21"/>
          <w:szCs w:val="21"/>
          <w14:ligatures w14:val="none"/>
        </w:rPr>
        <w:br/>
        <w:t>• Channel demolition and redesign</w:t>
      </w:r>
      <w:r w:rsidRPr="00FA28F2">
        <w:rPr>
          <w:rFonts w:ascii="Segoe UI" w:eastAsia="Times New Roman" w:hAnsi="Segoe UI" w:cs="Segoe UI"/>
          <w:kern w:val="0"/>
          <w:sz w:val="21"/>
          <w:szCs w:val="21"/>
          <w14:ligatures w14:val="none"/>
        </w:rPr>
        <w:br/>
        <w:t>• Replacement of screw conveyors</w:t>
      </w:r>
      <w:r w:rsidRPr="00FA28F2">
        <w:rPr>
          <w:rFonts w:ascii="Segoe UI" w:eastAsia="Times New Roman" w:hAnsi="Segoe UI" w:cs="Segoe UI"/>
          <w:kern w:val="0"/>
          <w:sz w:val="21"/>
          <w:szCs w:val="21"/>
          <w14:ligatures w14:val="none"/>
        </w:rPr>
        <w:br/>
        <w:t>• SCADA reprogramming</w:t>
      </w:r>
      <w:r w:rsidRPr="00FA28F2">
        <w:rPr>
          <w:rFonts w:ascii="Segoe UI" w:eastAsia="Times New Roman" w:hAnsi="Segoe UI" w:cs="Segoe UI"/>
          <w:kern w:val="0"/>
          <w:sz w:val="21"/>
          <w:szCs w:val="21"/>
          <w14:ligatures w14:val="none"/>
        </w:rPr>
        <w:br/>
        <w:t>• New controls and electrical panels</w:t>
      </w:r>
      <w:r w:rsidRPr="00FA28F2">
        <w:rPr>
          <w:rFonts w:ascii="Segoe UI" w:eastAsia="Times New Roman" w:hAnsi="Segoe UI" w:cs="Segoe UI"/>
          <w:kern w:val="0"/>
          <w:sz w:val="21"/>
          <w:szCs w:val="21"/>
          <w14:ligatures w14:val="none"/>
        </w:rPr>
        <w:br/>
        <w:t>• Hydraulic redesign</w:t>
      </w:r>
      <w:r w:rsidRPr="00FA28F2">
        <w:rPr>
          <w:rFonts w:ascii="Segoe UI" w:eastAsia="Times New Roman" w:hAnsi="Segoe UI" w:cs="Segoe UI"/>
          <w:kern w:val="0"/>
          <w:sz w:val="21"/>
          <w:szCs w:val="21"/>
          <w14:ligatures w14:val="none"/>
        </w:rPr>
        <w:br/>
        <w:t>• Extended system downtime</w:t>
      </w:r>
      <w:r w:rsidRPr="00FA28F2">
        <w:rPr>
          <w:rFonts w:ascii="Segoe UI" w:eastAsia="Times New Roman" w:hAnsi="Segoe UI" w:cs="Segoe UI"/>
          <w:kern w:val="0"/>
          <w:sz w:val="21"/>
          <w:szCs w:val="21"/>
          <w14:ligatures w14:val="none"/>
        </w:rPr>
        <w:br/>
        <w:t>(citations: turn1search1, turn1search2)</w:t>
      </w:r>
    </w:p>
    <w:p w14:paraId="1757EB76" w14:textId="77777777" w:rsidR="00FA28F2" w:rsidRPr="00FA28F2" w:rsidRDefault="00FA28F2" w:rsidP="00FA28F2">
      <w:pPr>
        <w:spacing w:before="100" w:beforeAutospacing="1" w:after="100" w:afterAutospacing="1" w:line="300" w:lineRule="atLeast"/>
        <w:rPr>
          <w:rFonts w:ascii="Segoe UI" w:eastAsia="Times New Roman" w:hAnsi="Segoe UI" w:cs="Segoe UI"/>
          <w:kern w:val="0"/>
          <w:sz w:val="21"/>
          <w:szCs w:val="21"/>
          <w14:ligatures w14:val="none"/>
        </w:rPr>
      </w:pPr>
      <w:r w:rsidRPr="00FA28F2">
        <w:rPr>
          <w:rFonts w:ascii="Segoe UI" w:eastAsia="Times New Roman" w:hAnsi="Segoe UI" w:cs="Segoe UI"/>
          <w:kern w:val="0"/>
          <w:sz w:val="21"/>
          <w:szCs w:val="21"/>
          <w14:ligatures w14:val="none"/>
        </w:rPr>
        <w:t>These impacts would jeopardize NIWTP operations and significantly exceed project costs.</w:t>
      </w:r>
    </w:p>
    <w:p w14:paraId="22F0D367" w14:textId="77777777" w:rsidR="00FA28F2" w:rsidRPr="00FA28F2" w:rsidRDefault="00FA28F2" w:rsidP="00FA28F2">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sidRPr="00FA28F2">
        <w:rPr>
          <w:rFonts w:ascii="Segoe UI" w:eastAsia="Times New Roman" w:hAnsi="Segoe UI" w:cs="Segoe UI"/>
          <w:kern w:val="0"/>
          <w:sz w:val="21"/>
          <w:szCs w:val="21"/>
          <w14:ligatures w14:val="none"/>
        </w:rPr>
        <w:t>REQUIREMENTS CERTIFICATION</w:t>
      </w:r>
      <w:r w:rsidRPr="00FA28F2">
        <w:rPr>
          <w:rFonts w:ascii="Segoe UI" w:eastAsia="Times New Roman" w:hAnsi="Segoe UI" w:cs="Segoe UI"/>
          <w:kern w:val="0"/>
          <w:sz w:val="21"/>
          <w:szCs w:val="21"/>
          <w14:ligatures w14:val="none"/>
        </w:rPr>
        <w:br/>
        <w:t>NIWTP technical personnel certify that the brand-name equipment listed above is necessary to meet minimum technical, structural, hydraulic, and operational requirements.</w:t>
      </w:r>
      <w:r w:rsidRPr="00FA28F2">
        <w:rPr>
          <w:rFonts w:ascii="Segoe UI" w:eastAsia="Times New Roman" w:hAnsi="Segoe UI" w:cs="Segoe UI"/>
          <w:kern w:val="0"/>
          <w:sz w:val="21"/>
          <w:szCs w:val="21"/>
          <w14:ligatures w14:val="none"/>
        </w:rPr>
        <w:br/>
        <w:t>(citations: turn1search1, turn1search3)</w:t>
      </w:r>
    </w:p>
    <w:p w14:paraId="0BEADF7A" w14:textId="77777777" w:rsidR="00FA28F2" w:rsidRPr="00FA28F2" w:rsidRDefault="00FA28F2" w:rsidP="00FA28F2">
      <w:pPr>
        <w:numPr>
          <w:ilvl w:val="0"/>
          <w:numId w:val="7"/>
        </w:numPr>
        <w:spacing w:before="100" w:beforeAutospacing="1" w:after="100" w:afterAutospacing="1" w:line="300" w:lineRule="atLeast"/>
        <w:rPr>
          <w:rFonts w:ascii="Segoe UI" w:eastAsia="Times New Roman" w:hAnsi="Segoe UI" w:cs="Segoe UI"/>
          <w:kern w:val="0"/>
          <w:sz w:val="21"/>
          <w:szCs w:val="21"/>
          <w14:ligatures w14:val="none"/>
        </w:rPr>
      </w:pPr>
      <w:r w:rsidRPr="00FA28F2">
        <w:rPr>
          <w:rFonts w:ascii="Segoe UI" w:eastAsia="Times New Roman" w:hAnsi="Segoe UI" w:cs="Segoe UI"/>
          <w:kern w:val="0"/>
          <w:sz w:val="21"/>
          <w:szCs w:val="21"/>
          <w14:ligatures w14:val="none"/>
        </w:rPr>
        <w:t>FAIR AND REASONABLE PRICE DETERMINATION</w:t>
      </w:r>
      <w:r w:rsidRPr="00FA28F2">
        <w:rPr>
          <w:rFonts w:ascii="Segoe UI" w:eastAsia="Times New Roman" w:hAnsi="Segoe UI" w:cs="Segoe UI"/>
          <w:kern w:val="0"/>
          <w:sz w:val="21"/>
          <w:szCs w:val="21"/>
          <w14:ligatures w14:val="none"/>
        </w:rPr>
        <w:br/>
        <w:t>Prices will be evaluated for fairness and reasonableness based on the Independent Government Estimate ($1,801,000) and historical OEM pricing.</w:t>
      </w:r>
      <w:r w:rsidRPr="00FA28F2">
        <w:rPr>
          <w:rFonts w:ascii="Segoe UI" w:eastAsia="Times New Roman" w:hAnsi="Segoe UI" w:cs="Segoe UI"/>
          <w:kern w:val="0"/>
          <w:sz w:val="21"/>
          <w:szCs w:val="21"/>
          <w14:ligatures w14:val="none"/>
        </w:rPr>
        <w:br/>
        <w:t>(citations: turn1search2)</w:t>
      </w:r>
    </w:p>
    <w:p w14:paraId="4C8C029E" w14:textId="77777777" w:rsidR="00FA28F2" w:rsidRPr="00FA28F2" w:rsidRDefault="00FA28F2" w:rsidP="00FA28F2">
      <w:pPr>
        <w:numPr>
          <w:ilvl w:val="0"/>
          <w:numId w:val="7"/>
        </w:numPr>
        <w:spacing w:before="100" w:beforeAutospacing="1" w:after="100" w:afterAutospacing="1" w:line="300" w:lineRule="atLeast"/>
        <w:rPr>
          <w:rFonts w:ascii="Segoe UI" w:eastAsia="Times New Roman" w:hAnsi="Segoe UI" w:cs="Segoe UI"/>
          <w:kern w:val="0"/>
          <w:sz w:val="21"/>
          <w:szCs w:val="21"/>
          <w14:ligatures w14:val="none"/>
        </w:rPr>
      </w:pPr>
      <w:r w:rsidRPr="00FA28F2">
        <w:rPr>
          <w:rFonts w:ascii="Segoe UI" w:eastAsia="Times New Roman" w:hAnsi="Segoe UI" w:cs="Segoe UI"/>
          <w:kern w:val="0"/>
          <w:sz w:val="21"/>
          <w:szCs w:val="21"/>
          <w14:ligatures w14:val="none"/>
        </w:rPr>
        <w:t>APPROVALS REQUIRED</w:t>
      </w:r>
      <w:r w:rsidRPr="00FA28F2">
        <w:rPr>
          <w:rFonts w:ascii="Segoe UI" w:eastAsia="Times New Roman" w:hAnsi="Segoe UI" w:cs="Segoe UI"/>
          <w:kern w:val="0"/>
          <w:sz w:val="21"/>
          <w:szCs w:val="21"/>
          <w14:ligatures w14:val="none"/>
        </w:rPr>
        <w:br/>
        <w:t>As the anticipated value exceeds the simplified acquisition threshold, this Brand Name Only Justification requires review and approval by:</w:t>
      </w:r>
      <w:r w:rsidRPr="00FA28F2">
        <w:rPr>
          <w:rFonts w:ascii="Segoe UI" w:eastAsia="Times New Roman" w:hAnsi="Segoe UI" w:cs="Segoe UI"/>
          <w:kern w:val="0"/>
          <w:sz w:val="21"/>
          <w:szCs w:val="21"/>
          <w14:ligatures w14:val="none"/>
        </w:rPr>
        <w:br/>
        <w:t>• Contracting Officer</w:t>
      </w:r>
      <w:r w:rsidRPr="00FA28F2">
        <w:rPr>
          <w:rFonts w:ascii="Segoe UI" w:eastAsia="Times New Roman" w:hAnsi="Segoe UI" w:cs="Segoe UI"/>
          <w:kern w:val="0"/>
          <w:sz w:val="21"/>
          <w:szCs w:val="21"/>
          <w14:ligatures w14:val="none"/>
        </w:rPr>
        <w:br/>
        <w:t>• Legal Counsel</w:t>
      </w:r>
      <w:r w:rsidRPr="00FA28F2">
        <w:rPr>
          <w:rFonts w:ascii="Segoe UI" w:eastAsia="Times New Roman" w:hAnsi="Segoe UI" w:cs="Segoe UI"/>
          <w:kern w:val="0"/>
          <w:sz w:val="21"/>
          <w:szCs w:val="21"/>
          <w14:ligatures w14:val="none"/>
        </w:rPr>
        <w:br/>
        <w:t>• Competition Advocate</w:t>
      </w:r>
      <w:r w:rsidRPr="00FA28F2">
        <w:rPr>
          <w:rFonts w:ascii="Segoe UI" w:eastAsia="Times New Roman" w:hAnsi="Segoe UI" w:cs="Segoe UI"/>
          <w:kern w:val="0"/>
          <w:sz w:val="21"/>
          <w:szCs w:val="21"/>
          <w14:ligatures w14:val="none"/>
        </w:rPr>
        <w:br/>
        <w:t>• Other agency officials as required by USIBWC policy</w:t>
      </w:r>
    </w:p>
    <w:p w14:paraId="7554ABF9" w14:textId="77777777" w:rsidR="00811F97" w:rsidRDefault="00811F97"/>
    <w:sectPr w:rsidR="00811F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47C03"/>
    <w:multiLevelType w:val="multilevel"/>
    <w:tmpl w:val="9550C4C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5F2500"/>
    <w:multiLevelType w:val="multilevel"/>
    <w:tmpl w:val="6E0AD55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5BF0EB5"/>
    <w:multiLevelType w:val="multilevel"/>
    <w:tmpl w:val="DE1448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AF04B2B"/>
    <w:multiLevelType w:val="multilevel"/>
    <w:tmpl w:val="D60C24C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32C0B46"/>
    <w:multiLevelType w:val="multilevel"/>
    <w:tmpl w:val="4DC02E5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F712A8D"/>
    <w:multiLevelType w:val="multilevel"/>
    <w:tmpl w:val="171A9BE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7F25DAD"/>
    <w:multiLevelType w:val="multilevel"/>
    <w:tmpl w:val="DC96F3E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06348490">
    <w:abstractNumId w:val="2"/>
  </w:num>
  <w:num w:numId="2" w16cid:durableId="1655984121">
    <w:abstractNumId w:val="1"/>
  </w:num>
  <w:num w:numId="3" w16cid:durableId="354430718">
    <w:abstractNumId w:val="3"/>
  </w:num>
  <w:num w:numId="4" w16cid:durableId="61099322">
    <w:abstractNumId w:val="0"/>
  </w:num>
  <w:num w:numId="5" w16cid:durableId="948123937">
    <w:abstractNumId w:val="6"/>
  </w:num>
  <w:num w:numId="6" w16cid:durableId="1790927663">
    <w:abstractNumId w:val="5"/>
  </w:num>
  <w:num w:numId="7" w16cid:durableId="16088046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8F2"/>
    <w:rsid w:val="004B5815"/>
    <w:rsid w:val="00811F97"/>
    <w:rsid w:val="00DD68FF"/>
    <w:rsid w:val="00FA28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838D1"/>
  <w15:chartTrackingRefBased/>
  <w15:docId w15:val="{E4172E1F-AD6B-4928-B3B7-2FC692548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28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28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28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28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28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28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28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28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28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28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28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28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28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28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28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28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28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28F2"/>
    <w:rPr>
      <w:rFonts w:eastAsiaTheme="majorEastAsia" w:cstheme="majorBidi"/>
      <w:color w:val="272727" w:themeColor="text1" w:themeTint="D8"/>
    </w:rPr>
  </w:style>
  <w:style w:type="paragraph" w:styleId="Title">
    <w:name w:val="Title"/>
    <w:basedOn w:val="Normal"/>
    <w:next w:val="Normal"/>
    <w:link w:val="TitleChar"/>
    <w:uiPriority w:val="10"/>
    <w:qFormat/>
    <w:rsid w:val="00FA28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28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28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28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28F2"/>
    <w:pPr>
      <w:spacing w:before="160"/>
      <w:jc w:val="center"/>
    </w:pPr>
    <w:rPr>
      <w:i/>
      <w:iCs/>
      <w:color w:val="404040" w:themeColor="text1" w:themeTint="BF"/>
    </w:rPr>
  </w:style>
  <w:style w:type="character" w:customStyle="1" w:styleId="QuoteChar">
    <w:name w:val="Quote Char"/>
    <w:basedOn w:val="DefaultParagraphFont"/>
    <w:link w:val="Quote"/>
    <w:uiPriority w:val="29"/>
    <w:rsid w:val="00FA28F2"/>
    <w:rPr>
      <w:i/>
      <w:iCs/>
      <w:color w:val="404040" w:themeColor="text1" w:themeTint="BF"/>
    </w:rPr>
  </w:style>
  <w:style w:type="paragraph" w:styleId="ListParagraph">
    <w:name w:val="List Paragraph"/>
    <w:basedOn w:val="Normal"/>
    <w:uiPriority w:val="34"/>
    <w:qFormat/>
    <w:rsid w:val="00FA28F2"/>
    <w:pPr>
      <w:ind w:left="720"/>
      <w:contextualSpacing/>
    </w:pPr>
  </w:style>
  <w:style w:type="character" w:styleId="IntenseEmphasis">
    <w:name w:val="Intense Emphasis"/>
    <w:basedOn w:val="DefaultParagraphFont"/>
    <w:uiPriority w:val="21"/>
    <w:qFormat/>
    <w:rsid w:val="00FA28F2"/>
    <w:rPr>
      <w:i/>
      <w:iCs/>
      <w:color w:val="0F4761" w:themeColor="accent1" w:themeShade="BF"/>
    </w:rPr>
  </w:style>
  <w:style w:type="paragraph" w:styleId="IntenseQuote">
    <w:name w:val="Intense Quote"/>
    <w:basedOn w:val="Normal"/>
    <w:next w:val="Normal"/>
    <w:link w:val="IntenseQuoteChar"/>
    <w:uiPriority w:val="30"/>
    <w:qFormat/>
    <w:rsid w:val="00FA28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28F2"/>
    <w:rPr>
      <w:i/>
      <w:iCs/>
      <w:color w:val="0F4761" w:themeColor="accent1" w:themeShade="BF"/>
    </w:rPr>
  </w:style>
  <w:style w:type="character" w:styleId="IntenseReference">
    <w:name w:val="Intense Reference"/>
    <w:basedOn w:val="DefaultParagraphFont"/>
    <w:uiPriority w:val="32"/>
    <w:qFormat/>
    <w:rsid w:val="00FA28F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777</Words>
  <Characters>5309</Characters>
  <Application>Microsoft Office Word</Application>
  <DocSecurity>0</DocSecurity>
  <Lines>126</Lines>
  <Paragraphs>29</Paragraphs>
  <ScaleCrop>false</ScaleCrop>
  <Company/>
  <LinksUpToDate>false</LinksUpToDate>
  <CharactersWithSpaces>6057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Seone Jones</dc:creator>
  <cp:keywords/>
  <dc:description/>
  <cp:lastModifiedBy>Seone Jones</cp:lastModifiedBy>
  <cp:revision>1</cp:revision>
  <dcterms:created xsi:type="dcterms:W3CDTF">2026-08-20T14:21:00Z</dcterms:created>
  <dcterms:modified xsi:type="dcterms:W3CDTF">2026-08-20T14:23:00Z</dcterms:modified>
</cp:coreProperties>
</file>