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E3910" w14:textId="77777777" w:rsidR="00F67DE8" w:rsidRPr="00F937DB" w:rsidRDefault="00402D3A" w:rsidP="00402D3A">
      <w:pPr>
        <w:tabs>
          <w:tab w:val="left" w:pos="6600"/>
        </w:tabs>
        <w:rPr>
          <w:rFonts w:ascii="Times New Roman" w:hAnsi="Times New Roman" w:cs="Times New Roman"/>
          <w:sz w:val="24"/>
          <w:szCs w:val="24"/>
        </w:rPr>
      </w:pPr>
      <w:r w:rsidRPr="00F937DB">
        <w:rPr>
          <w:rFonts w:ascii="Times New Roman" w:hAnsi="Times New Roman" w:cs="Times New Roman"/>
          <w:sz w:val="24"/>
          <w:szCs w:val="24"/>
        </w:rPr>
        <w:tab/>
      </w:r>
    </w:p>
    <w:p w14:paraId="0E5FD94E" w14:textId="77777777" w:rsidR="00F71D8D" w:rsidRPr="00F937DB" w:rsidRDefault="00192ED8" w:rsidP="00F71D8D">
      <w:pPr>
        <w:jc w:val="center"/>
        <w:rPr>
          <w:rFonts w:ascii="Times New Roman" w:hAnsi="Times New Roman" w:cs="Times New Roman"/>
          <w:b/>
          <w:sz w:val="24"/>
          <w:szCs w:val="24"/>
        </w:rPr>
      </w:pPr>
      <w:r w:rsidRPr="00F937DB">
        <w:rPr>
          <w:rFonts w:ascii="Times New Roman" w:hAnsi="Times New Roman" w:cs="Times New Roman"/>
          <w:b/>
          <w:sz w:val="24"/>
          <w:szCs w:val="24"/>
        </w:rPr>
        <w:t>RF</w:t>
      </w:r>
      <w:r w:rsidR="00402D3A" w:rsidRPr="00F937DB">
        <w:rPr>
          <w:rFonts w:ascii="Times New Roman" w:hAnsi="Times New Roman" w:cs="Times New Roman"/>
          <w:b/>
          <w:sz w:val="24"/>
          <w:szCs w:val="24"/>
        </w:rPr>
        <w:t>Q</w:t>
      </w:r>
      <w:r w:rsidRPr="00F937DB">
        <w:rPr>
          <w:rFonts w:ascii="Times New Roman" w:hAnsi="Times New Roman" w:cs="Times New Roman"/>
          <w:b/>
          <w:sz w:val="24"/>
          <w:szCs w:val="24"/>
        </w:rPr>
        <w:t xml:space="preserve"> </w:t>
      </w:r>
      <w:r w:rsidR="00F71D8D" w:rsidRPr="00F937DB">
        <w:rPr>
          <w:rFonts w:ascii="Times New Roman" w:hAnsi="Times New Roman" w:cs="Times New Roman"/>
          <w:b/>
          <w:sz w:val="24"/>
          <w:szCs w:val="24"/>
        </w:rPr>
        <w:t>AOCSSB2</w:t>
      </w:r>
      <w:r w:rsidR="00F544CF" w:rsidRPr="00F937DB">
        <w:rPr>
          <w:rFonts w:ascii="Times New Roman" w:hAnsi="Times New Roman" w:cs="Times New Roman"/>
          <w:b/>
          <w:sz w:val="24"/>
          <w:szCs w:val="24"/>
        </w:rPr>
        <w:t>6</w:t>
      </w:r>
      <w:r w:rsidR="00402D3A" w:rsidRPr="00F937DB">
        <w:rPr>
          <w:rFonts w:ascii="Times New Roman" w:hAnsi="Times New Roman" w:cs="Times New Roman"/>
          <w:b/>
          <w:sz w:val="24"/>
          <w:szCs w:val="24"/>
        </w:rPr>
        <w:t>Q</w:t>
      </w:r>
      <w:r w:rsidR="00F71D8D" w:rsidRPr="00F937DB">
        <w:rPr>
          <w:rFonts w:ascii="Times New Roman" w:hAnsi="Times New Roman" w:cs="Times New Roman"/>
          <w:b/>
          <w:sz w:val="24"/>
          <w:szCs w:val="24"/>
        </w:rPr>
        <w:t>00</w:t>
      </w:r>
      <w:r w:rsidR="00402D3A" w:rsidRPr="00F937DB">
        <w:rPr>
          <w:rFonts w:ascii="Times New Roman" w:hAnsi="Times New Roman" w:cs="Times New Roman"/>
          <w:b/>
          <w:sz w:val="24"/>
          <w:szCs w:val="24"/>
        </w:rPr>
        <w:t>73</w:t>
      </w:r>
      <w:r w:rsidR="00F71D8D" w:rsidRPr="00F937DB">
        <w:rPr>
          <w:rFonts w:ascii="Times New Roman" w:hAnsi="Times New Roman" w:cs="Times New Roman"/>
          <w:b/>
          <w:sz w:val="24"/>
          <w:szCs w:val="24"/>
        </w:rPr>
        <w:t xml:space="preserve"> </w:t>
      </w:r>
      <w:r w:rsidR="00E61C7D" w:rsidRPr="00F937DB">
        <w:rPr>
          <w:rFonts w:ascii="Times New Roman" w:hAnsi="Times New Roman" w:cs="Times New Roman"/>
          <w:b/>
          <w:sz w:val="24"/>
          <w:szCs w:val="24"/>
        </w:rPr>
        <w:t>–</w:t>
      </w:r>
      <w:r w:rsidR="00F71D8D" w:rsidRPr="00F937DB">
        <w:rPr>
          <w:rFonts w:ascii="Times New Roman" w:hAnsi="Times New Roman" w:cs="Times New Roman"/>
          <w:b/>
          <w:sz w:val="24"/>
          <w:szCs w:val="24"/>
        </w:rPr>
        <w:t xml:space="preserve"> </w:t>
      </w:r>
      <w:r w:rsidR="00402D3A" w:rsidRPr="00F937DB">
        <w:rPr>
          <w:rFonts w:ascii="Times New Roman" w:hAnsi="Times New Roman" w:cs="Times New Roman"/>
          <w:b/>
          <w:sz w:val="24"/>
          <w:szCs w:val="24"/>
        </w:rPr>
        <w:t>Architect of the Capitol (AOC) Renewable Energy Certificate (Credit)</w:t>
      </w:r>
    </w:p>
    <w:tbl>
      <w:tblPr>
        <w:tblStyle w:val="TableGrid"/>
        <w:tblW w:w="0" w:type="auto"/>
        <w:tblLook w:val="04A0" w:firstRow="1" w:lastRow="0" w:firstColumn="1" w:lastColumn="0" w:noHBand="0" w:noVBand="1"/>
      </w:tblPr>
      <w:tblGrid>
        <w:gridCol w:w="535"/>
        <w:gridCol w:w="2340"/>
        <w:gridCol w:w="3861"/>
        <w:gridCol w:w="2614"/>
      </w:tblGrid>
      <w:tr w:rsidR="00C036FF" w:rsidRPr="00F937DB" w14:paraId="15272A5B" w14:textId="77777777" w:rsidTr="00C036FF">
        <w:trPr>
          <w:tblHeader/>
        </w:trPr>
        <w:tc>
          <w:tcPr>
            <w:tcW w:w="535" w:type="dxa"/>
          </w:tcPr>
          <w:p w14:paraId="04059087" w14:textId="61B61ECE" w:rsidR="00C036FF" w:rsidRPr="00F937DB" w:rsidRDefault="00C036FF" w:rsidP="00593E23">
            <w:pPr>
              <w:rPr>
                <w:rFonts w:ascii="Times New Roman" w:eastAsia="Arial" w:hAnsi="Times New Roman" w:cs="Times New Roman"/>
                <w:b/>
              </w:rPr>
            </w:pPr>
          </w:p>
        </w:tc>
        <w:tc>
          <w:tcPr>
            <w:tcW w:w="2340" w:type="dxa"/>
            <w:tcMar>
              <w:top w:w="80" w:type="dxa"/>
              <w:left w:w="75" w:type="dxa"/>
              <w:bottom w:w="80" w:type="dxa"/>
              <w:right w:w="75" w:type="dxa"/>
            </w:tcMar>
            <w:vAlign w:val="center"/>
          </w:tcPr>
          <w:p w14:paraId="0E204B8C" w14:textId="639270FD" w:rsidR="00C036FF" w:rsidRPr="00F937DB" w:rsidRDefault="00C036FF" w:rsidP="00593E23">
            <w:pPr>
              <w:rPr>
                <w:rFonts w:ascii="Times New Roman" w:hAnsi="Times New Roman" w:cs="Times New Roman"/>
                <w:b/>
                <w:sz w:val="24"/>
                <w:szCs w:val="24"/>
              </w:rPr>
            </w:pPr>
            <w:r w:rsidRPr="00F937DB">
              <w:rPr>
                <w:rFonts w:ascii="Times New Roman" w:eastAsia="Arial" w:hAnsi="Times New Roman" w:cs="Times New Roman"/>
                <w:b/>
              </w:rPr>
              <w:t>Reference</w:t>
            </w:r>
            <w:r w:rsidRPr="00F937DB">
              <w:rPr>
                <w:rFonts w:ascii="Times New Roman" w:eastAsia="Arial" w:hAnsi="Times New Roman" w:cs="Times New Roman"/>
                <w:b/>
              </w:rPr>
              <w:br/>
              <w:t>Page, Section, Paragraph</w:t>
            </w:r>
          </w:p>
        </w:tc>
        <w:tc>
          <w:tcPr>
            <w:tcW w:w="3861" w:type="dxa"/>
            <w:tcMar>
              <w:top w:w="80" w:type="dxa"/>
              <w:left w:w="75" w:type="dxa"/>
              <w:bottom w:w="80" w:type="dxa"/>
              <w:right w:w="75" w:type="dxa"/>
            </w:tcMar>
            <w:vAlign w:val="center"/>
          </w:tcPr>
          <w:p w14:paraId="07FEF4E8" w14:textId="77777777" w:rsidR="00C036FF" w:rsidRPr="00F937DB" w:rsidRDefault="00C036FF" w:rsidP="00593E23">
            <w:pPr>
              <w:rPr>
                <w:rFonts w:ascii="Times New Roman" w:hAnsi="Times New Roman" w:cs="Times New Roman"/>
                <w:b/>
                <w:sz w:val="24"/>
                <w:szCs w:val="24"/>
              </w:rPr>
            </w:pPr>
            <w:r w:rsidRPr="00F937DB">
              <w:rPr>
                <w:rFonts w:ascii="Times New Roman" w:eastAsia="Arial" w:hAnsi="Times New Roman" w:cs="Times New Roman"/>
                <w:b/>
              </w:rPr>
              <w:t>Quoters' Question</w:t>
            </w:r>
          </w:p>
        </w:tc>
        <w:tc>
          <w:tcPr>
            <w:tcW w:w="2614" w:type="dxa"/>
            <w:tcMar>
              <w:top w:w="80" w:type="dxa"/>
              <w:left w:w="75" w:type="dxa"/>
              <w:bottom w:w="80" w:type="dxa"/>
              <w:right w:w="75" w:type="dxa"/>
            </w:tcMar>
            <w:vAlign w:val="center"/>
          </w:tcPr>
          <w:p w14:paraId="5B0620DA" w14:textId="77777777" w:rsidR="00C036FF" w:rsidRPr="00F937DB" w:rsidRDefault="00C036FF" w:rsidP="00593E23">
            <w:pPr>
              <w:rPr>
                <w:rFonts w:ascii="Times New Roman" w:hAnsi="Times New Roman" w:cs="Times New Roman"/>
                <w:b/>
                <w:sz w:val="24"/>
                <w:szCs w:val="24"/>
              </w:rPr>
            </w:pPr>
            <w:r w:rsidRPr="00F937DB">
              <w:rPr>
                <w:rFonts w:ascii="Times New Roman" w:eastAsia="Arial" w:hAnsi="Times New Roman" w:cs="Times New Roman"/>
                <w:b/>
              </w:rPr>
              <w:t>Government's Response</w:t>
            </w:r>
          </w:p>
        </w:tc>
      </w:tr>
      <w:tr w:rsidR="00C036FF" w:rsidRPr="00F937DB" w14:paraId="796BE53E" w14:textId="77777777" w:rsidTr="00C036FF">
        <w:trPr>
          <w:cantSplit/>
        </w:trPr>
        <w:tc>
          <w:tcPr>
            <w:tcW w:w="535" w:type="dxa"/>
          </w:tcPr>
          <w:p w14:paraId="0A7004A4" w14:textId="2C9F187E"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w:t>
            </w:r>
          </w:p>
        </w:tc>
        <w:tc>
          <w:tcPr>
            <w:tcW w:w="2340" w:type="dxa"/>
            <w:tcMar>
              <w:top w:w="65" w:type="dxa"/>
              <w:left w:w="75" w:type="dxa"/>
              <w:bottom w:w="65" w:type="dxa"/>
              <w:right w:w="75" w:type="dxa"/>
            </w:tcMar>
          </w:tcPr>
          <w:p w14:paraId="1A90B2C3" w14:textId="64862CC2" w:rsidR="00C036FF" w:rsidRPr="00F937DB" w:rsidRDefault="00C036FF">
            <w:pPr>
              <w:rPr>
                <w:rFonts w:ascii="Times New Roman" w:hAnsi="Times New Roman" w:cs="Times New Roman"/>
              </w:rPr>
            </w:pPr>
            <w:r w:rsidRPr="00F937DB">
              <w:rPr>
                <w:rFonts w:ascii="Times New Roman" w:eastAsia="Arial" w:hAnsi="Times New Roman" w:cs="Times New Roman"/>
              </w:rPr>
              <w:t>J.6 p.2, L.2.2; SF33 p.1, Item 9</w:t>
            </w:r>
          </w:p>
        </w:tc>
        <w:tc>
          <w:tcPr>
            <w:tcW w:w="3861" w:type="dxa"/>
            <w:tcMar>
              <w:top w:w="65" w:type="dxa"/>
              <w:left w:w="75" w:type="dxa"/>
              <w:bottom w:w="65" w:type="dxa"/>
              <w:right w:w="75" w:type="dxa"/>
            </w:tcMar>
          </w:tcPr>
          <w:p w14:paraId="3C26A42E" w14:textId="3C2F10B6" w:rsidR="00C036FF" w:rsidRPr="00F937DB" w:rsidRDefault="00C036FF">
            <w:pPr>
              <w:rPr>
                <w:rFonts w:ascii="Times New Roman" w:hAnsi="Times New Roman" w:cs="Times New Roman"/>
              </w:rPr>
            </w:pPr>
            <w:r w:rsidRPr="00F937DB">
              <w:rPr>
                <w:rFonts w:ascii="Times New Roman" w:eastAsia="Arial" w:hAnsi="Times New Roman" w:cs="Times New Roman"/>
              </w:rPr>
              <w:t xml:space="preserve">1. J.6 states that quotations are due at noon ET on September 16, 2026, while the SF33 cover page states 5:00 PM ET on September 27, 2026. Please confirm </w:t>
            </w:r>
            <w:r>
              <w:rPr>
                <w:rFonts w:ascii="Times New Roman" w:eastAsia="Arial" w:hAnsi="Times New Roman" w:cs="Times New Roman"/>
              </w:rPr>
              <w:t>when offers are due.</w:t>
            </w:r>
          </w:p>
        </w:tc>
        <w:tc>
          <w:tcPr>
            <w:tcW w:w="2614" w:type="dxa"/>
            <w:tcMar>
              <w:top w:w="65" w:type="dxa"/>
              <w:left w:w="75" w:type="dxa"/>
              <w:bottom w:w="65" w:type="dxa"/>
              <w:right w:w="75" w:type="dxa"/>
            </w:tcMar>
          </w:tcPr>
          <w:p w14:paraId="31753B2C" w14:textId="536E0AA8" w:rsidR="00C036FF" w:rsidRPr="00F937DB" w:rsidRDefault="00C036FF">
            <w:pPr>
              <w:rPr>
                <w:rFonts w:ascii="Times New Roman" w:hAnsi="Times New Roman" w:cs="Times New Roman"/>
              </w:rPr>
            </w:pPr>
            <w:r w:rsidRPr="00C036FF">
              <w:rPr>
                <w:rFonts w:ascii="Times New Roman" w:hAnsi="Times New Roman" w:cs="Times New Roman"/>
              </w:rPr>
              <w:t>The due date is 12:00 (ET) September 16. 2026</w:t>
            </w:r>
          </w:p>
        </w:tc>
      </w:tr>
      <w:tr w:rsidR="00C036FF" w:rsidRPr="00F937DB" w14:paraId="6A13CC9E" w14:textId="77777777" w:rsidTr="00C036FF">
        <w:trPr>
          <w:cantSplit/>
        </w:trPr>
        <w:tc>
          <w:tcPr>
            <w:tcW w:w="535" w:type="dxa"/>
          </w:tcPr>
          <w:p w14:paraId="639D1C24" w14:textId="0E549F23"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2</w:t>
            </w:r>
          </w:p>
        </w:tc>
        <w:tc>
          <w:tcPr>
            <w:tcW w:w="2340" w:type="dxa"/>
            <w:tcMar>
              <w:top w:w="65" w:type="dxa"/>
              <w:left w:w="75" w:type="dxa"/>
              <w:bottom w:w="65" w:type="dxa"/>
              <w:right w:w="75" w:type="dxa"/>
            </w:tcMar>
          </w:tcPr>
          <w:p w14:paraId="3B4668B2" w14:textId="066ECC37" w:rsidR="00C036FF" w:rsidRPr="00F937DB" w:rsidRDefault="00C036FF">
            <w:pPr>
              <w:rPr>
                <w:rFonts w:ascii="Times New Roman" w:hAnsi="Times New Roman" w:cs="Times New Roman"/>
              </w:rPr>
            </w:pPr>
            <w:r w:rsidRPr="00F937DB">
              <w:rPr>
                <w:rFonts w:ascii="Times New Roman" w:eastAsia="Arial" w:hAnsi="Times New Roman" w:cs="Times New Roman"/>
              </w:rPr>
              <w:t>J.1 p.6, §5.5; J.6 p.4, L.3.4(2)</w:t>
            </w:r>
          </w:p>
        </w:tc>
        <w:tc>
          <w:tcPr>
            <w:tcW w:w="3861" w:type="dxa"/>
            <w:tcMar>
              <w:top w:w="65" w:type="dxa"/>
              <w:left w:w="75" w:type="dxa"/>
              <w:bottom w:w="65" w:type="dxa"/>
              <w:right w:w="75" w:type="dxa"/>
            </w:tcMar>
          </w:tcPr>
          <w:p w14:paraId="172B412B"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2. Are offerors required to identify the specific generating facility or facilities for the RECs at the time of quotation?</w:t>
            </w:r>
          </w:p>
        </w:tc>
        <w:tc>
          <w:tcPr>
            <w:tcW w:w="2614" w:type="dxa"/>
            <w:tcMar>
              <w:top w:w="65" w:type="dxa"/>
              <w:left w:w="75" w:type="dxa"/>
              <w:bottom w:w="65" w:type="dxa"/>
              <w:right w:w="75" w:type="dxa"/>
            </w:tcMar>
          </w:tcPr>
          <w:p w14:paraId="716FD38D" w14:textId="1FABBEDC" w:rsidR="00C036FF" w:rsidRPr="00F937DB" w:rsidRDefault="00C036FF">
            <w:pPr>
              <w:rPr>
                <w:rFonts w:ascii="Times New Roman" w:hAnsi="Times New Roman" w:cs="Times New Roman"/>
              </w:rPr>
            </w:pPr>
            <w:r>
              <w:rPr>
                <w:rFonts w:ascii="Times New Roman" w:hAnsi="Times New Roman" w:cs="Times New Roman"/>
              </w:rPr>
              <w:t>Yes</w:t>
            </w:r>
          </w:p>
        </w:tc>
      </w:tr>
      <w:tr w:rsidR="00C036FF" w:rsidRPr="00F937DB" w14:paraId="22BA378E" w14:textId="77777777" w:rsidTr="00C036FF">
        <w:trPr>
          <w:cantSplit/>
        </w:trPr>
        <w:tc>
          <w:tcPr>
            <w:tcW w:w="535" w:type="dxa"/>
          </w:tcPr>
          <w:p w14:paraId="4047914F" w14:textId="75E2E443"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3</w:t>
            </w:r>
          </w:p>
        </w:tc>
        <w:tc>
          <w:tcPr>
            <w:tcW w:w="2340" w:type="dxa"/>
            <w:tcMar>
              <w:top w:w="65" w:type="dxa"/>
              <w:left w:w="75" w:type="dxa"/>
              <w:bottom w:w="65" w:type="dxa"/>
              <w:right w:w="75" w:type="dxa"/>
            </w:tcMar>
          </w:tcPr>
          <w:p w14:paraId="149DC81B" w14:textId="1D4D79D5" w:rsidR="00C036FF" w:rsidRPr="00F937DB" w:rsidRDefault="00C036FF">
            <w:pPr>
              <w:rPr>
                <w:rFonts w:ascii="Times New Roman" w:hAnsi="Times New Roman" w:cs="Times New Roman"/>
              </w:rPr>
            </w:pPr>
            <w:r w:rsidRPr="00F937DB">
              <w:rPr>
                <w:rFonts w:ascii="Times New Roman" w:eastAsia="Arial" w:hAnsi="Times New Roman" w:cs="Times New Roman"/>
              </w:rPr>
              <w:t>J.1 p.6, §5.5; J.6 p.4, L.3.4(2)-(3)</w:t>
            </w:r>
          </w:p>
        </w:tc>
        <w:tc>
          <w:tcPr>
            <w:tcW w:w="3861" w:type="dxa"/>
            <w:tcMar>
              <w:top w:w="65" w:type="dxa"/>
              <w:left w:w="75" w:type="dxa"/>
              <w:bottom w:w="65" w:type="dxa"/>
              <w:right w:w="75" w:type="dxa"/>
            </w:tcMar>
          </w:tcPr>
          <w:p w14:paraId="04126D35"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3. If a facility is identified in the quotation, is the Contractor required to deliver from that specific facility, or can another facility be used if it meets the same requirements?</w:t>
            </w:r>
          </w:p>
        </w:tc>
        <w:tc>
          <w:tcPr>
            <w:tcW w:w="2614" w:type="dxa"/>
            <w:tcMar>
              <w:top w:w="65" w:type="dxa"/>
              <w:left w:w="75" w:type="dxa"/>
              <w:bottom w:w="65" w:type="dxa"/>
              <w:right w:w="75" w:type="dxa"/>
            </w:tcMar>
          </w:tcPr>
          <w:p w14:paraId="51F442F9" w14:textId="01C3E984" w:rsidR="00C036FF" w:rsidRPr="00F937DB" w:rsidRDefault="00C036FF">
            <w:pPr>
              <w:rPr>
                <w:rFonts w:ascii="Times New Roman" w:hAnsi="Times New Roman" w:cs="Times New Roman"/>
              </w:rPr>
            </w:pPr>
            <w:r>
              <w:rPr>
                <w:rFonts w:ascii="Times New Roman" w:hAnsi="Times New Roman" w:cs="Times New Roman"/>
              </w:rPr>
              <w:t xml:space="preserve">If it meets the Contract requirements then another facility can be used. Must meet the green e requirements. </w:t>
            </w:r>
          </w:p>
        </w:tc>
      </w:tr>
      <w:tr w:rsidR="00C036FF" w:rsidRPr="00F937DB" w14:paraId="55DEBA93" w14:textId="77777777" w:rsidTr="00C036FF">
        <w:trPr>
          <w:cantSplit/>
        </w:trPr>
        <w:tc>
          <w:tcPr>
            <w:tcW w:w="535" w:type="dxa"/>
          </w:tcPr>
          <w:p w14:paraId="183B428B" w14:textId="0A7E175E"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4</w:t>
            </w:r>
          </w:p>
        </w:tc>
        <w:tc>
          <w:tcPr>
            <w:tcW w:w="2340" w:type="dxa"/>
            <w:tcMar>
              <w:top w:w="65" w:type="dxa"/>
              <w:left w:w="75" w:type="dxa"/>
              <w:bottom w:w="65" w:type="dxa"/>
              <w:right w:w="75" w:type="dxa"/>
            </w:tcMar>
          </w:tcPr>
          <w:p w14:paraId="5CF2080B" w14:textId="149E4EA1" w:rsidR="00C036FF" w:rsidRPr="00F937DB" w:rsidRDefault="00C036FF">
            <w:pPr>
              <w:rPr>
                <w:rFonts w:ascii="Times New Roman" w:hAnsi="Times New Roman" w:cs="Times New Roman"/>
              </w:rPr>
            </w:pPr>
            <w:r w:rsidRPr="00F937DB">
              <w:rPr>
                <w:rFonts w:ascii="Times New Roman" w:eastAsia="Arial" w:hAnsi="Times New Roman" w:cs="Times New Roman"/>
              </w:rPr>
              <w:t>J.6 p.4, L.3.4(2); J.1 p.3, §1.7</w:t>
            </w:r>
          </w:p>
        </w:tc>
        <w:tc>
          <w:tcPr>
            <w:tcW w:w="3861" w:type="dxa"/>
            <w:tcMar>
              <w:top w:w="65" w:type="dxa"/>
              <w:left w:w="75" w:type="dxa"/>
              <w:bottom w:w="65" w:type="dxa"/>
              <w:right w:w="75" w:type="dxa"/>
            </w:tcMar>
          </w:tcPr>
          <w:p w14:paraId="4C2B7672"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4. Are offerors required to identify specific generating facilities for the Base Year and all four Option Years at the time of quotation?</w:t>
            </w:r>
          </w:p>
        </w:tc>
        <w:tc>
          <w:tcPr>
            <w:tcW w:w="2614" w:type="dxa"/>
            <w:tcMar>
              <w:top w:w="65" w:type="dxa"/>
              <w:left w:w="75" w:type="dxa"/>
              <w:bottom w:w="65" w:type="dxa"/>
              <w:right w:w="75" w:type="dxa"/>
            </w:tcMar>
          </w:tcPr>
          <w:p w14:paraId="3A6BD532" w14:textId="2A9F46AD" w:rsidR="00C036FF" w:rsidRPr="00F937DB" w:rsidRDefault="00C036FF">
            <w:pPr>
              <w:rPr>
                <w:rFonts w:ascii="Times New Roman" w:hAnsi="Times New Roman" w:cs="Times New Roman"/>
              </w:rPr>
            </w:pPr>
            <w:r>
              <w:rPr>
                <w:rFonts w:ascii="Times New Roman" w:hAnsi="Times New Roman" w:cs="Times New Roman"/>
              </w:rPr>
              <w:t>The Base Year and all Option Years.</w:t>
            </w:r>
          </w:p>
        </w:tc>
      </w:tr>
      <w:tr w:rsidR="00C036FF" w:rsidRPr="00F937DB" w14:paraId="1B6A6A44" w14:textId="77777777" w:rsidTr="00C036FF">
        <w:trPr>
          <w:cantSplit/>
        </w:trPr>
        <w:tc>
          <w:tcPr>
            <w:tcW w:w="535" w:type="dxa"/>
          </w:tcPr>
          <w:p w14:paraId="76C486F1" w14:textId="6D09A4C4"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5</w:t>
            </w:r>
          </w:p>
        </w:tc>
        <w:tc>
          <w:tcPr>
            <w:tcW w:w="2340" w:type="dxa"/>
            <w:tcMar>
              <w:top w:w="65" w:type="dxa"/>
              <w:left w:w="75" w:type="dxa"/>
              <w:bottom w:w="65" w:type="dxa"/>
              <w:right w:w="75" w:type="dxa"/>
            </w:tcMar>
          </w:tcPr>
          <w:p w14:paraId="5CA88A51" w14:textId="34748FFC" w:rsidR="00C036FF" w:rsidRPr="00F937DB" w:rsidRDefault="00C036FF">
            <w:pPr>
              <w:rPr>
                <w:rFonts w:ascii="Times New Roman" w:hAnsi="Times New Roman" w:cs="Times New Roman"/>
              </w:rPr>
            </w:pPr>
            <w:r w:rsidRPr="00F937DB">
              <w:rPr>
                <w:rFonts w:ascii="Times New Roman" w:eastAsia="Arial" w:hAnsi="Times New Roman" w:cs="Times New Roman"/>
              </w:rPr>
              <w:t>J.1 p.6, §5.5; J.3, Generator Registration Form</w:t>
            </w:r>
          </w:p>
        </w:tc>
        <w:tc>
          <w:tcPr>
            <w:tcW w:w="3861" w:type="dxa"/>
            <w:tcMar>
              <w:top w:w="65" w:type="dxa"/>
              <w:left w:w="75" w:type="dxa"/>
              <w:bottom w:w="65" w:type="dxa"/>
              <w:right w:w="75" w:type="dxa"/>
            </w:tcMar>
          </w:tcPr>
          <w:p w14:paraId="48CF3B5D"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 xml:space="preserve">5. Can the </w:t>
            </w:r>
            <w:proofErr w:type="gramStart"/>
            <w:r w:rsidRPr="00F937DB">
              <w:rPr>
                <w:rFonts w:ascii="Times New Roman" w:eastAsia="Arial" w:hAnsi="Times New Roman" w:cs="Times New Roman"/>
              </w:rPr>
              <w:t>20,000 MWh</w:t>
            </w:r>
            <w:proofErr w:type="gramEnd"/>
            <w:r w:rsidRPr="00F937DB">
              <w:rPr>
                <w:rFonts w:ascii="Times New Roman" w:eastAsia="Arial" w:hAnsi="Times New Roman" w:cs="Times New Roman"/>
              </w:rPr>
              <w:t xml:space="preserve"> annual requirement be supplied from multiple qualifying facilities?</w:t>
            </w:r>
          </w:p>
        </w:tc>
        <w:tc>
          <w:tcPr>
            <w:tcW w:w="2614" w:type="dxa"/>
            <w:tcMar>
              <w:top w:w="65" w:type="dxa"/>
              <w:left w:w="75" w:type="dxa"/>
              <w:bottom w:w="65" w:type="dxa"/>
              <w:right w:w="75" w:type="dxa"/>
            </w:tcMar>
          </w:tcPr>
          <w:p w14:paraId="512534E1" w14:textId="641B0FCD" w:rsidR="00C036FF" w:rsidRPr="00F937DB" w:rsidRDefault="00C036FF">
            <w:pPr>
              <w:rPr>
                <w:rFonts w:ascii="Times New Roman" w:hAnsi="Times New Roman" w:cs="Times New Roman"/>
              </w:rPr>
            </w:pPr>
            <w:r>
              <w:rPr>
                <w:rFonts w:ascii="Times New Roman" w:hAnsi="Times New Roman" w:cs="Times New Roman"/>
              </w:rPr>
              <w:t>Yes, it can be supplied from multiple qualifying facilities that meet the green e requirements.</w:t>
            </w:r>
          </w:p>
        </w:tc>
      </w:tr>
      <w:tr w:rsidR="00C036FF" w:rsidRPr="00F937DB" w14:paraId="4B2DCFCF" w14:textId="77777777" w:rsidTr="00C036FF">
        <w:trPr>
          <w:cantSplit/>
        </w:trPr>
        <w:tc>
          <w:tcPr>
            <w:tcW w:w="535" w:type="dxa"/>
          </w:tcPr>
          <w:p w14:paraId="16F7E362" w14:textId="57976D41"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6</w:t>
            </w:r>
          </w:p>
        </w:tc>
        <w:tc>
          <w:tcPr>
            <w:tcW w:w="2340" w:type="dxa"/>
            <w:tcMar>
              <w:top w:w="65" w:type="dxa"/>
              <w:left w:w="75" w:type="dxa"/>
              <w:bottom w:w="65" w:type="dxa"/>
              <w:right w:w="75" w:type="dxa"/>
            </w:tcMar>
          </w:tcPr>
          <w:p w14:paraId="5C7B73F7" w14:textId="10950EB8" w:rsidR="00C036FF" w:rsidRPr="00F937DB" w:rsidRDefault="00C036FF">
            <w:pPr>
              <w:rPr>
                <w:rFonts w:ascii="Times New Roman" w:hAnsi="Times New Roman" w:cs="Times New Roman"/>
              </w:rPr>
            </w:pPr>
            <w:r w:rsidRPr="00F937DB">
              <w:rPr>
                <w:rFonts w:ascii="Times New Roman" w:eastAsia="Arial" w:hAnsi="Times New Roman" w:cs="Times New Roman"/>
              </w:rPr>
              <w:t>F33 p.12, FAR 52.217-9; J.1 §§1.1, 1.4</w:t>
            </w:r>
          </w:p>
        </w:tc>
        <w:tc>
          <w:tcPr>
            <w:tcW w:w="3861" w:type="dxa"/>
            <w:tcMar>
              <w:top w:w="65" w:type="dxa"/>
              <w:left w:w="75" w:type="dxa"/>
              <w:bottom w:w="65" w:type="dxa"/>
              <w:right w:w="75" w:type="dxa"/>
            </w:tcMar>
          </w:tcPr>
          <w:p w14:paraId="071CAC97"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6. FAR 52.217-9 provides for preliminary notice before an Option Year and states that the preliminary notice does not commit the Government. Are offerors expected to keep the full 20,000 MWh and the proposed generating facilities available at the fixed Option Year price until AOC gives final written notice exercising the option?</w:t>
            </w:r>
          </w:p>
        </w:tc>
        <w:tc>
          <w:tcPr>
            <w:tcW w:w="2614" w:type="dxa"/>
            <w:tcMar>
              <w:top w:w="65" w:type="dxa"/>
              <w:left w:w="75" w:type="dxa"/>
              <w:bottom w:w="65" w:type="dxa"/>
              <w:right w:w="75" w:type="dxa"/>
            </w:tcMar>
          </w:tcPr>
          <w:p w14:paraId="7215D8DF" w14:textId="6DAF88D5" w:rsidR="00C036FF" w:rsidRPr="00F937DB" w:rsidRDefault="00C036FF">
            <w:pPr>
              <w:rPr>
                <w:rFonts w:ascii="Times New Roman" w:hAnsi="Times New Roman" w:cs="Times New Roman"/>
              </w:rPr>
            </w:pPr>
            <w:r>
              <w:rPr>
                <w:rFonts w:ascii="Times New Roman" w:hAnsi="Times New Roman" w:cs="Times New Roman"/>
              </w:rPr>
              <w:t>Yes</w:t>
            </w:r>
          </w:p>
        </w:tc>
      </w:tr>
      <w:tr w:rsidR="00C036FF" w:rsidRPr="00F937DB" w14:paraId="6CDC0B07" w14:textId="77777777" w:rsidTr="00C036FF">
        <w:trPr>
          <w:cantSplit/>
        </w:trPr>
        <w:tc>
          <w:tcPr>
            <w:tcW w:w="535" w:type="dxa"/>
          </w:tcPr>
          <w:p w14:paraId="6F9EE3E6" w14:textId="6747292F"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7</w:t>
            </w:r>
          </w:p>
        </w:tc>
        <w:tc>
          <w:tcPr>
            <w:tcW w:w="2340" w:type="dxa"/>
            <w:tcMar>
              <w:top w:w="65" w:type="dxa"/>
              <w:left w:w="75" w:type="dxa"/>
              <w:bottom w:w="65" w:type="dxa"/>
              <w:right w:w="75" w:type="dxa"/>
            </w:tcMar>
          </w:tcPr>
          <w:p w14:paraId="378A0826" w14:textId="3EDAEC0F" w:rsidR="00C036FF" w:rsidRPr="00F937DB" w:rsidRDefault="00C036FF">
            <w:pPr>
              <w:rPr>
                <w:rFonts w:ascii="Times New Roman" w:hAnsi="Times New Roman" w:cs="Times New Roman"/>
              </w:rPr>
            </w:pPr>
            <w:r w:rsidRPr="00F937DB">
              <w:rPr>
                <w:rFonts w:ascii="Times New Roman" w:eastAsia="Arial" w:hAnsi="Times New Roman" w:cs="Times New Roman"/>
              </w:rPr>
              <w:t>SF33 p.12, FAR 52.217-9</w:t>
            </w:r>
          </w:p>
        </w:tc>
        <w:tc>
          <w:tcPr>
            <w:tcW w:w="3861" w:type="dxa"/>
            <w:tcMar>
              <w:top w:w="65" w:type="dxa"/>
              <w:left w:w="75" w:type="dxa"/>
              <w:bottom w:w="65" w:type="dxa"/>
              <w:right w:w="75" w:type="dxa"/>
            </w:tcMar>
          </w:tcPr>
          <w:p w14:paraId="45676C60"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7. Please confirm the Option Year exercise timeline. For each Option Year, by what date will AOC provide (i) preliminary notice that it intends to exercise the option and (ii) final written notice exercising the option? How much advance notice will the Contractor receive before the Option Year begins?</w:t>
            </w:r>
          </w:p>
        </w:tc>
        <w:tc>
          <w:tcPr>
            <w:tcW w:w="2614" w:type="dxa"/>
            <w:tcMar>
              <w:top w:w="65" w:type="dxa"/>
              <w:left w:w="75" w:type="dxa"/>
              <w:bottom w:w="65" w:type="dxa"/>
              <w:right w:w="75" w:type="dxa"/>
            </w:tcMar>
          </w:tcPr>
          <w:p w14:paraId="2BB57F29" w14:textId="1E14E429" w:rsidR="00C036FF" w:rsidRPr="0097023A" w:rsidRDefault="00C036FF">
            <w:pPr>
              <w:rPr>
                <w:rFonts w:ascii="Times New Roman" w:hAnsi="Times New Roman" w:cs="Times New Roman"/>
              </w:rPr>
            </w:pPr>
            <w:r w:rsidRPr="00391231">
              <w:rPr>
                <w:rFonts w:ascii="Times New Roman" w:hAnsi="Times New Roman" w:cs="Times New Roman"/>
              </w:rPr>
              <w:t xml:space="preserve">The contractor will be notified by means of a Notice of Intent to Exercise the option period 30 Calendar Days prior to the expiration of the base or option period it is currently in. </w:t>
            </w:r>
          </w:p>
        </w:tc>
      </w:tr>
      <w:tr w:rsidR="00C036FF" w:rsidRPr="00F937DB" w14:paraId="5D05FE44" w14:textId="77777777" w:rsidTr="00C036FF">
        <w:trPr>
          <w:cantSplit/>
        </w:trPr>
        <w:tc>
          <w:tcPr>
            <w:tcW w:w="535" w:type="dxa"/>
          </w:tcPr>
          <w:p w14:paraId="50DA4EBB" w14:textId="3003D05C"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lastRenderedPageBreak/>
              <w:t>8</w:t>
            </w:r>
          </w:p>
        </w:tc>
        <w:tc>
          <w:tcPr>
            <w:tcW w:w="2340" w:type="dxa"/>
            <w:tcMar>
              <w:top w:w="65" w:type="dxa"/>
              <w:left w:w="75" w:type="dxa"/>
              <w:bottom w:w="65" w:type="dxa"/>
              <w:right w:w="75" w:type="dxa"/>
            </w:tcMar>
          </w:tcPr>
          <w:p w14:paraId="50A00227" w14:textId="3D99D056" w:rsidR="00C036FF" w:rsidRPr="00F937DB" w:rsidRDefault="00C036FF">
            <w:pPr>
              <w:rPr>
                <w:rFonts w:ascii="Times New Roman" w:hAnsi="Times New Roman" w:cs="Times New Roman"/>
              </w:rPr>
            </w:pPr>
            <w:r w:rsidRPr="00F937DB">
              <w:rPr>
                <w:rFonts w:ascii="Times New Roman" w:eastAsia="Arial" w:hAnsi="Times New Roman" w:cs="Times New Roman"/>
              </w:rPr>
              <w:t>SF33 p.12, FAR 52.217-9; J.1 §1.4</w:t>
            </w:r>
          </w:p>
        </w:tc>
        <w:tc>
          <w:tcPr>
            <w:tcW w:w="3861" w:type="dxa"/>
            <w:tcMar>
              <w:top w:w="65" w:type="dxa"/>
              <w:left w:w="75" w:type="dxa"/>
              <w:bottom w:w="65" w:type="dxa"/>
              <w:right w:w="75" w:type="dxa"/>
            </w:tcMar>
          </w:tcPr>
          <w:p w14:paraId="257F80B0"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8. If an Option Year is exercised, will AOC commit to the full 20,000 MWh for that year, or can AOC exercise only part of the annual volume?</w:t>
            </w:r>
          </w:p>
        </w:tc>
        <w:tc>
          <w:tcPr>
            <w:tcW w:w="2614" w:type="dxa"/>
            <w:tcMar>
              <w:top w:w="65" w:type="dxa"/>
              <w:left w:w="75" w:type="dxa"/>
              <w:bottom w:w="65" w:type="dxa"/>
              <w:right w:w="75" w:type="dxa"/>
            </w:tcMar>
          </w:tcPr>
          <w:p w14:paraId="3004ED0E" w14:textId="25BA6CAB" w:rsidR="00C036FF" w:rsidRDefault="00C036FF">
            <w:pPr>
              <w:rPr>
                <w:rFonts w:ascii="Times New Roman" w:hAnsi="Times New Roman" w:cs="Times New Roman"/>
              </w:rPr>
            </w:pPr>
            <w:r>
              <w:rPr>
                <w:rFonts w:ascii="Times New Roman" w:hAnsi="Times New Roman" w:cs="Times New Roman"/>
              </w:rPr>
              <w:t xml:space="preserve">Yes, the full 20,000 MWh.  To add. </w:t>
            </w:r>
          </w:p>
          <w:p w14:paraId="51A651AA" w14:textId="77777777" w:rsidR="00C036FF" w:rsidRDefault="00C036FF">
            <w:pPr>
              <w:rPr>
                <w:rFonts w:ascii="Times New Roman" w:hAnsi="Times New Roman" w:cs="Times New Roman"/>
              </w:rPr>
            </w:pPr>
          </w:p>
          <w:p w14:paraId="2778B6B5" w14:textId="25CEE22E" w:rsidR="00C036FF" w:rsidRPr="00F937DB" w:rsidRDefault="00C036FF">
            <w:pPr>
              <w:rPr>
                <w:rFonts w:ascii="Times New Roman" w:hAnsi="Times New Roman" w:cs="Times New Roman"/>
              </w:rPr>
            </w:pPr>
            <w:r w:rsidRPr="00391231">
              <w:rPr>
                <w:rFonts w:ascii="Times New Roman" w:hAnsi="Times New Roman" w:cs="Times New Roman"/>
                <w:b/>
                <w:bCs/>
              </w:rPr>
              <w:t>Note:</w:t>
            </w:r>
            <w:r>
              <w:rPr>
                <w:rFonts w:ascii="Times New Roman" w:hAnsi="Times New Roman" w:cs="Times New Roman"/>
              </w:rPr>
              <w:t xml:space="preserve"> If the AOC requires additional </w:t>
            </w:r>
            <w:proofErr w:type="gramStart"/>
            <w:r>
              <w:rPr>
                <w:rFonts w:ascii="Times New Roman" w:hAnsi="Times New Roman" w:cs="Times New Roman"/>
              </w:rPr>
              <w:t>MWh</w:t>
            </w:r>
            <w:proofErr w:type="gramEnd"/>
            <w:r>
              <w:rPr>
                <w:rFonts w:ascii="Times New Roman" w:hAnsi="Times New Roman" w:cs="Times New Roman"/>
              </w:rPr>
              <w:t xml:space="preserve"> then a request will be submitted to the contractor for an increase of certificates/credits.</w:t>
            </w:r>
          </w:p>
        </w:tc>
      </w:tr>
      <w:tr w:rsidR="00C036FF" w:rsidRPr="00F937DB" w14:paraId="446F5F12" w14:textId="77777777" w:rsidTr="00C036FF">
        <w:trPr>
          <w:cantSplit/>
        </w:trPr>
        <w:tc>
          <w:tcPr>
            <w:tcW w:w="535" w:type="dxa"/>
          </w:tcPr>
          <w:p w14:paraId="61DBACF4" w14:textId="1D5D1C8F"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9</w:t>
            </w:r>
          </w:p>
        </w:tc>
        <w:tc>
          <w:tcPr>
            <w:tcW w:w="2340" w:type="dxa"/>
            <w:tcMar>
              <w:top w:w="65" w:type="dxa"/>
              <w:left w:w="75" w:type="dxa"/>
              <w:bottom w:w="65" w:type="dxa"/>
              <w:right w:w="75" w:type="dxa"/>
            </w:tcMar>
          </w:tcPr>
          <w:p w14:paraId="49F85F9A" w14:textId="620B2D74" w:rsidR="00C036FF" w:rsidRPr="00F937DB" w:rsidRDefault="00C036FF">
            <w:pPr>
              <w:rPr>
                <w:rFonts w:ascii="Times New Roman" w:hAnsi="Times New Roman" w:cs="Times New Roman"/>
              </w:rPr>
            </w:pPr>
            <w:r w:rsidRPr="00F937DB">
              <w:rPr>
                <w:rFonts w:ascii="Times New Roman" w:eastAsia="Arial" w:hAnsi="Times New Roman" w:cs="Times New Roman"/>
              </w:rPr>
              <w:t>SF33 p.12, FAR 52.217-9; J.1 §§1.1, 1.4</w:t>
            </w:r>
          </w:p>
        </w:tc>
        <w:tc>
          <w:tcPr>
            <w:tcW w:w="3861" w:type="dxa"/>
            <w:tcMar>
              <w:top w:w="65" w:type="dxa"/>
              <w:left w:w="75" w:type="dxa"/>
              <w:bottom w:w="65" w:type="dxa"/>
              <w:right w:w="75" w:type="dxa"/>
            </w:tcMar>
          </w:tcPr>
          <w:p w14:paraId="58787C2C"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9. If an Option Year is not exercised, will the Contractor have no obligation for that year's 20,000 MWh?</w:t>
            </w:r>
          </w:p>
        </w:tc>
        <w:tc>
          <w:tcPr>
            <w:tcW w:w="2614" w:type="dxa"/>
            <w:tcMar>
              <w:top w:w="65" w:type="dxa"/>
              <w:left w:w="75" w:type="dxa"/>
              <w:bottom w:w="65" w:type="dxa"/>
              <w:right w:w="75" w:type="dxa"/>
            </w:tcMar>
          </w:tcPr>
          <w:p w14:paraId="21408D09" w14:textId="3E3338BE" w:rsidR="00C036FF" w:rsidRPr="00F937DB" w:rsidRDefault="00C036FF">
            <w:pPr>
              <w:rPr>
                <w:rFonts w:ascii="Times New Roman" w:hAnsi="Times New Roman" w:cs="Times New Roman"/>
              </w:rPr>
            </w:pPr>
            <w:r>
              <w:rPr>
                <w:rFonts w:ascii="Times New Roman" w:hAnsi="Times New Roman" w:cs="Times New Roman"/>
              </w:rPr>
              <w:t>Yes, the contractor has no obligation if option year is not exercised.</w:t>
            </w:r>
          </w:p>
        </w:tc>
      </w:tr>
      <w:tr w:rsidR="00C036FF" w:rsidRPr="00F937DB" w14:paraId="03FB533A" w14:textId="77777777" w:rsidTr="00C036FF">
        <w:trPr>
          <w:cantSplit/>
        </w:trPr>
        <w:tc>
          <w:tcPr>
            <w:tcW w:w="535" w:type="dxa"/>
          </w:tcPr>
          <w:p w14:paraId="2E8331F6" w14:textId="3B7FEE9C"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10</w:t>
            </w:r>
          </w:p>
        </w:tc>
        <w:tc>
          <w:tcPr>
            <w:tcW w:w="2340" w:type="dxa"/>
            <w:tcMar>
              <w:top w:w="65" w:type="dxa"/>
              <w:left w:w="75" w:type="dxa"/>
              <w:bottom w:w="65" w:type="dxa"/>
              <w:right w:w="75" w:type="dxa"/>
            </w:tcMar>
          </w:tcPr>
          <w:p w14:paraId="7F9F1658" w14:textId="43870979" w:rsidR="00C036FF" w:rsidRPr="00F937DB" w:rsidRDefault="00C036FF">
            <w:pPr>
              <w:rPr>
                <w:rFonts w:ascii="Times New Roman" w:hAnsi="Times New Roman" w:cs="Times New Roman"/>
              </w:rPr>
            </w:pPr>
            <w:r w:rsidRPr="00F937DB">
              <w:rPr>
                <w:rFonts w:ascii="Times New Roman" w:eastAsia="Arial" w:hAnsi="Times New Roman" w:cs="Times New Roman"/>
              </w:rPr>
              <w:t>J.2; J.6 p.4, L.3.5; SF33 Section B</w:t>
            </w:r>
          </w:p>
        </w:tc>
        <w:tc>
          <w:tcPr>
            <w:tcW w:w="3861" w:type="dxa"/>
            <w:tcMar>
              <w:top w:w="65" w:type="dxa"/>
              <w:left w:w="75" w:type="dxa"/>
              <w:bottom w:w="65" w:type="dxa"/>
              <w:right w:w="75" w:type="dxa"/>
            </w:tcMar>
          </w:tcPr>
          <w:p w14:paraId="152921E3"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10. Please confirm that the prices submitted for Option Years 1-4 are fixed if the applicable option is exercised and will not be repriced at that time.</w:t>
            </w:r>
          </w:p>
        </w:tc>
        <w:tc>
          <w:tcPr>
            <w:tcW w:w="2614" w:type="dxa"/>
            <w:tcMar>
              <w:top w:w="65" w:type="dxa"/>
              <w:left w:w="75" w:type="dxa"/>
              <w:bottom w:w="65" w:type="dxa"/>
              <w:right w:w="75" w:type="dxa"/>
            </w:tcMar>
          </w:tcPr>
          <w:p w14:paraId="6605B4F0" w14:textId="6E1D03C4" w:rsidR="00C036FF" w:rsidRPr="00F937DB" w:rsidRDefault="00C036FF">
            <w:pPr>
              <w:rPr>
                <w:rFonts w:ascii="Times New Roman" w:hAnsi="Times New Roman" w:cs="Times New Roman"/>
              </w:rPr>
            </w:pPr>
            <w:r>
              <w:rPr>
                <w:rFonts w:ascii="Times New Roman" w:hAnsi="Times New Roman" w:cs="Times New Roman"/>
              </w:rPr>
              <w:t>Yes, prices submitted for option years 1-4 are fixed along with the base year.</w:t>
            </w:r>
          </w:p>
        </w:tc>
      </w:tr>
      <w:tr w:rsidR="00C036FF" w:rsidRPr="00F937DB" w14:paraId="2E53741F" w14:textId="77777777" w:rsidTr="00C036FF">
        <w:trPr>
          <w:cantSplit/>
        </w:trPr>
        <w:tc>
          <w:tcPr>
            <w:tcW w:w="535" w:type="dxa"/>
          </w:tcPr>
          <w:p w14:paraId="4B7722B2" w14:textId="128C3498"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11</w:t>
            </w:r>
          </w:p>
        </w:tc>
        <w:tc>
          <w:tcPr>
            <w:tcW w:w="2340" w:type="dxa"/>
            <w:tcMar>
              <w:top w:w="65" w:type="dxa"/>
              <w:left w:w="75" w:type="dxa"/>
              <w:bottom w:w="65" w:type="dxa"/>
              <w:right w:w="75" w:type="dxa"/>
            </w:tcMar>
          </w:tcPr>
          <w:p w14:paraId="5BB48B18" w14:textId="7A207D62" w:rsidR="00C036FF" w:rsidRPr="00F937DB" w:rsidRDefault="00C036FF">
            <w:pPr>
              <w:rPr>
                <w:rFonts w:ascii="Times New Roman" w:hAnsi="Times New Roman" w:cs="Times New Roman"/>
              </w:rPr>
            </w:pPr>
            <w:r w:rsidRPr="00F937DB">
              <w:rPr>
                <w:rFonts w:ascii="Times New Roman" w:eastAsia="Arial" w:hAnsi="Times New Roman" w:cs="Times New Roman"/>
              </w:rPr>
              <w:t>SF33 p.12, FAR 52.217-8</w:t>
            </w:r>
          </w:p>
        </w:tc>
        <w:tc>
          <w:tcPr>
            <w:tcW w:w="3861" w:type="dxa"/>
            <w:tcMar>
              <w:top w:w="65" w:type="dxa"/>
              <w:left w:w="75" w:type="dxa"/>
              <w:bottom w:w="65" w:type="dxa"/>
              <w:right w:w="75" w:type="dxa"/>
            </w:tcMar>
          </w:tcPr>
          <w:p w14:paraId="38490C4F"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11. Does FAR 52.217-8, Option to Extend Services, apply to this REC supply contract? If so, please clarify the REC volume, specifications, and pricing that would apply during any extension of up to six months.</w:t>
            </w:r>
          </w:p>
        </w:tc>
        <w:tc>
          <w:tcPr>
            <w:tcW w:w="2614" w:type="dxa"/>
            <w:tcMar>
              <w:top w:w="65" w:type="dxa"/>
              <w:left w:w="75" w:type="dxa"/>
              <w:bottom w:w="65" w:type="dxa"/>
              <w:right w:w="75" w:type="dxa"/>
            </w:tcMar>
          </w:tcPr>
          <w:p w14:paraId="6569FE73" w14:textId="756BF661" w:rsidR="00C036FF" w:rsidRPr="00F937DB" w:rsidRDefault="00C036FF">
            <w:pPr>
              <w:rPr>
                <w:rFonts w:ascii="Times New Roman" w:hAnsi="Times New Roman" w:cs="Times New Roman"/>
              </w:rPr>
            </w:pPr>
            <w:r w:rsidRPr="007C591A">
              <w:rPr>
                <w:rFonts w:ascii="Times New Roman" w:hAnsi="Times New Roman" w:cs="Times New Roman"/>
              </w:rPr>
              <w:t>This is to note that the FAR 52.217-8 (6-month extension.) is being removed from this requirement. This is a straight 5-year contract requirement only.</w:t>
            </w:r>
          </w:p>
        </w:tc>
      </w:tr>
      <w:tr w:rsidR="00C036FF" w:rsidRPr="00F937DB" w14:paraId="0671C65B" w14:textId="77777777" w:rsidTr="00C036FF">
        <w:trPr>
          <w:cantSplit/>
        </w:trPr>
        <w:tc>
          <w:tcPr>
            <w:tcW w:w="535" w:type="dxa"/>
          </w:tcPr>
          <w:p w14:paraId="67AA960D" w14:textId="1BD30AFE"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12</w:t>
            </w:r>
          </w:p>
        </w:tc>
        <w:tc>
          <w:tcPr>
            <w:tcW w:w="2340" w:type="dxa"/>
            <w:tcMar>
              <w:top w:w="65" w:type="dxa"/>
              <w:left w:w="75" w:type="dxa"/>
              <w:bottom w:w="65" w:type="dxa"/>
              <w:right w:w="75" w:type="dxa"/>
            </w:tcMar>
          </w:tcPr>
          <w:p w14:paraId="529A83C8" w14:textId="347AD783" w:rsidR="00C036FF" w:rsidRPr="00F937DB" w:rsidRDefault="00C036FF">
            <w:pPr>
              <w:rPr>
                <w:rFonts w:ascii="Times New Roman" w:hAnsi="Times New Roman" w:cs="Times New Roman"/>
              </w:rPr>
            </w:pPr>
            <w:r w:rsidRPr="00F937DB">
              <w:rPr>
                <w:rFonts w:ascii="Times New Roman" w:eastAsia="Arial" w:hAnsi="Times New Roman" w:cs="Times New Roman"/>
              </w:rPr>
              <w:t>J.1 p.4, §2.0; J.3, Generator Registration Form</w:t>
            </w:r>
          </w:p>
        </w:tc>
        <w:tc>
          <w:tcPr>
            <w:tcW w:w="3861" w:type="dxa"/>
            <w:tcMar>
              <w:top w:w="65" w:type="dxa"/>
              <w:left w:w="75" w:type="dxa"/>
              <w:bottom w:w="65" w:type="dxa"/>
              <w:right w:w="75" w:type="dxa"/>
            </w:tcMar>
          </w:tcPr>
          <w:p w14:paraId="0CBE642E"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12. J.1 lists solar, wind, ocean, hydro, and geothermal as eligible renewable resources, while J.3 also lists biomass, landfill/digester gas, and waste-to-energy. Which resource types are eligible for this procurement?</w:t>
            </w:r>
          </w:p>
        </w:tc>
        <w:tc>
          <w:tcPr>
            <w:tcW w:w="2614" w:type="dxa"/>
            <w:tcMar>
              <w:top w:w="65" w:type="dxa"/>
              <w:left w:w="75" w:type="dxa"/>
              <w:bottom w:w="65" w:type="dxa"/>
              <w:right w:w="75" w:type="dxa"/>
            </w:tcMar>
          </w:tcPr>
          <w:p w14:paraId="7F15E7FD" w14:textId="30D0CE35" w:rsidR="00C036FF" w:rsidRPr="00F937DB" w:rsidRDefault="00C036FF">
            <w:pPr>
              <w:rPr>
                <w:rFonts w:ascii="Times New Roman" w:hAnsi="Times New Roman" w:cs="Times New Roman"/>
              </w:rPr>
            </w:pPr>
            <w:r>
              <w:rPr>
                <w:rFonts w:ascii="Times New Roman" w:hAnsi="Times New Roman" w:cs="Times New Roman"/>
              </w:rPr>
              <w:t>Any source that meets the Green-e requirement is acceptable</w:t>
            </w:r>
          </w:p>
        </w:tc>
      </w:tr>
      <w:tr w:rsidR="00C036FF" w:rsidRPr="00F937DB" w14:paraId="06F4DB17" w14:textId="77777777" w:rsidTr="00C036FF">
        <w:trPr>
          <w:cantSplit/>
        </w:trPr>
        <w:tc>
          <w:tcPr>
            <w:tcW w:w="535" w:type="dxa"/>
          </w:tcPr>
          <w:p w14:paraId="6685CDC9" w14:textId="223F8CD2"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13</w:t>
            </w:r>
          </w:p>
        </w:tc>
        <w:tc>
          <w:tcPr>
            <w:tcW w:w="2340" w:type="dxa"/>
            <w:tcMar>
              <w:top w:w="65" w:type="dxa"/>
              <w:left w:w="75" w:type="dxa"/>
              <w:bottom w:w="65" w:type="dxa"/>
              <w:right w:w="75" w:type="dxa"/>
            </w:tcMar>
          </w:tcPr>
          <w:p w14:paraId="55D344D5" w14:textId="164B6C48" w:rsidR="00C036FF" w:rsidRPr="00F937DB" w:rsidRDefault="00C036FF">
            <w:pPr>
              <w:rPr>
                <w:rFonts w:ascii="Times New Roman" w:hAnsi="Times New Roman" w:cs="Times New Roman"/>
              </w:rPr>
            </w:pPr>
            <w:r w:rsidRPr="00F937DB">
              <w:rPr>
                <w:rFonts w:ascii="Times New Roman" w:eastAsia="Arial" w:hAnsi="Times New Roman" w:cs="Times New Roman"/>
              </w:rPr>
              <w:t>J.1 p.5, §4.3; SF33 pp.4-5, Section B</w:t>
            </w:r>
          </w:p>
        </w:tc>
        <w:tc>
          <w:tcPr>
            <w:tcW w:w="3861" w:type="dxa"/>
            <w:tcMar>
              <w:top w:w="65" w:type="dxa"/>
              <w:left w:w="75" w:type="dxa"/>
              <w:bottom w:w="65" w:type="dxa"/>
              <w:right w:w="75" w:type="dxa"/>
            </w:tcMar>
          </w:tcPr>
          <w:p w14:paraId="25048CED"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 xml:space="preserve">13. Section B of </w:t>
            </w:r>
            <w:proofErr w:type="gramStart"/>
            <w:r w:rsidRPr="00F937DB">
              <w:rPr>
                <w:rFonts w:ascii="Times New Roman" w:eastAsia="Arial" w:hAnsi="Times New Roman" w:cs="Times New Roman"/>
              </w:rPr>
              <w:t>the SF33</w:t>
            </w:r>
            <w:proofErr w:type="gramEnd"/>
            <w:r w:rsidRPr="00F937DB">
              <w:rPr>
                <w:rFonts w:ascii="Times New Roman" w:eastAsia="Arial" w:hAnsi="Times New Roman" w:cs="Times New Roman"/>
              </w:rPr>
              <w:t xml:space="preserve"> states specific certificate periods for each CLIN, while J.1 §4.3 allows generation during the applicable fiscal year plus the six months before and three months after. Which vintage requirement should offerors follow?</w:t>
            </w:r>
          </w:p>
        </w:tc>
        <w:tc>
          <w:tcPr>
            <w:tcW w:w="2614" w:type="dxa"/>
            <w:tcMar>
              <w:top w:w="65" w:type="dxa"/>
              <w:left w:w="75" w:type="dxa"/>
              <w:bottom w:w="65" w:type="dxa"/>
              <w:right w:w="75" w:type="dxa"/>
            </w:tcMar>
          </w:tcPr>
          <w:p w14:paraId="3A9F2901" w14:textId="650ECB14" w:rsidR="00C036FF" w:rsidRPr="00F937DB" w:rsidRDefault="00C036FF">
            <w:pPr>
              <w:rPr>
                <w:rFonts w:ascii="Times New Roman" w:hAnsi="Times New Roman" w:cs="Times New Roman"/>
              </w:rPr>
            </w:pPr>
            <w:r>
              <w:rPr>
                <w:rFonts w:ascii="Times New Roman" w:hAnsi="Times New Roman" w:cs="Times New Roman"/>
              </w:rPr>
              <w:t xml:space="preserve">AOC for this requirement will look at the fiscal year plus the six months before and three months after. </w:t>
            </w:r>
            <w:r w:rsidRPr="00C036FF">
              <w:rPr>
                <w:rFonts w:ascii="Times New Roman" w:hAnsi="Times New Roman" w:cs="Times New Roman"/>
                <w:b/>
                <w:bCs/>
                <w:i/>
                <w:iCs/>
              </w:rPr>
              <w:t>Example: (i.e. Base year (April 1, 2025- December 31, 2026)</w:t>
            </w:r>
            <w:r w:rsidR="00414268">
              <w:rPr>
                <w:rFonts w:ascii="Times New Roman" w:hAnsi="Times New Roman" w:cs="Times New Roman"/>
                <w:b/>
                <w:bCs/>
                <w:i/>
                <w:iCs/>
              </w:rPr>
              <w:t>, 21 months</w:t>
            </w:r>
          </w:p>
        </w:tc>
      </w:tr>
      <w:tr w:rsidR="00C036FF" w:rsidRPr="00F937DB" w14:paraId="782F8726" w14:textId="77777777" w:rsidTr="00C036FF">
        <w:trPr>
          <w:cantSplit/>
        </w:trPr>
        <w:tc>
          <w:tcPr>
            <w:tcW w:w="535" w:type="dxa"/>
          </w:tcPr>
          <w:p w14:paraId="18BB2BA9" w14:textId="4E879175"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lastRenderedPageBreak/>
              <w:t>14</w:t>
            </w:r>
          </w:p>
        </w:tc>
        <w:tc>
          <w:tcPr>
            <w:tcW w:w="2340" w:type="dxa"/>
            <w:tcMar>
              <w:top w:w="65" w:type="dxa"/>
              <w:left w:w="75" w:type="dxa"/>
              <w:bottom w:w="65" w:type="dxa"/>
              <w:right w:w="75" w:type="dxa"/>
            </w:tcMar>
          </w:tcPr>
          <w:p w14:paraId="7A85BF05" w14:textId="36348ABC" w:rsidR="00C036FF" w:rsidRPr="00F937DB" w:rsidRDefault="00C036FF">
            <w:pPr>
              <w:rPr>
                <w:rFonts w:ascii="Times New Roman" w:hAnsi="Times New Roman" w:cs="Times New Roman"/>
              </w:rPr>
            </w:pPr>
            <w:r w:rsidRPr="00F937DB">
              <w:rPr>
                <w:rFonts w:ascii="Times New Roman" w:eastAsia="Arial" w:hAnsi="Times New Roman" w:cs="Times New Roman"/>
              </w:rPr>
              <w:t>J.1 p.3, §1.7; SF33 pp.4-5, Section B</w:t>
            </w:r>
          </w:p>
        </w:tc>
        <w:tc>
          <w:tcPr>
            <w:tcW w:w="3861" w:type="dxa"/>
            <w:tcMar>
              <w:top w:w="65" w:type="dxa"/>
              <w:left w:w="75" w:type="dxa"/>
              <w:bottom w:w="65" w:type="dxa"/>
              <w:right w:w="75" w:type="dxa"/>
            </w:tcMar>
          </w:tcPr>
          <w:p w14:paraId="77FE0F76"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14. Please confirm that the Base Year contract period (September 28, 2026-September 27, 2027) is for delivery of RECs covering AOC FY2026 electricity consumption (October 1, 2025-September 30, 2026), and that each Option Year similarly covers the preceding AOC fiscal year.</w:t>
            </w:r>
          </w:p>
        </w:tc>
        <w:tc>
          <w:tcPr>
            <w:tcW w:w="2614" w:type="dxa"/>
            <w:tcMar>
              <w:top w:w="65" w:type="dxa"/>
              <w:left w:w="75" w:type="dxa"/>
              <w:bottom w:w="65" w:type="dxa"/>
              <w:right w:w="75" w:type="dxa"/>
            </w:tcMar>
          </w:tcPr>
          <w:p w14:paraId="68A40A64" w14:textId="24C6BA54" w:rsidR="00C036FF" w:rsidRPr="00F937DB" w:rsidRDefault="00C036FF">
            <w:pPr>
              <w:rPr>
                <w:rFonts w:ascii="Times New Roman" w:hAnsi="Times New Roman" w:cs="Times New Roman"/>
              </w:rPr>
            </w:pPr>
            <w:r>
              <w:rPr>
                <w:rFonts w:ascii="Times New Roman" w:hAnsi="Times New Roman" w:cs="Times New Roman"/>
              </w:rPr>
              <w:t>Yes, that is correct. However please refer to number 13 where it states the vintage of the RECs per the example.</w:t>
            </w:r>
          </w:p>
        </w:tc>
      </w:tr>
      <w:tr w:rsidR="00C036FF" w:rsidRPr="00F937DB" w14:paraId="0583CC63" w14:textId="77777777" w:rsidTr="00C036FF">
        <w:trPr>
          <w:cantSplit/>
        </w:trPr>
        <w:tc>
          <w:tcPr>
            <w:tcW w:w="535" w:type="dxa"/>
          </w:tcPr>
          <w:p w14:paraId="4D735837" w14:textId="63C904AD"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15</w:t>
            </w:r>
          </w:p>
        </w:tc>
        <w:tc>
          <w:tcPr>
            <w:tcW w:w="2340" w:type="dxa"/>
            <w:tcMar>
              <w:top w:w="65" w:type="dxa"/>
              <w:left w:w="75" w:type="dxa"/>
              <w:bottom w:w="65" w:type="dxa"/>
              <w:right w:w="75" w:type="dxa"/>
            </w:tcMar>
          </w:tcPr>
          <w:p w14:paraId="5260C16D" w14:textId="5F86B24F" w:rsidR="00C036FF" w:rsidRPr="00F937DB" w:rsidRDefault="00C036FF">
            <w:pPr>
              <w:rPr>
                <w:rFonts w:ascii="Times New Roman" w:hAnsi="Times New Roman" w:cs="Times New Roman"/>
              </w:rPr>
            </w:pPr>
            <w:r w:rsidRPr="00F937DB">
              <w:rPr>
                <w:rFonts w:ascii="Times New Roman" w:eastAsia="Arial" w:hAnsi="Times New Roman" w:cs="Times New Roman"/>
              </w:rPr>
              <w:t>J.1 pp.4-5, §§4.1-4.3; SF33 pp.4-5, Section B</w:t>
            </w:r>
          </w:p>
        </w:tc>
        <w:tc>
          <w:tcPr>
            <w:tcW w:w="3861" w:type="dxa"/>
            <w:tcMar>
              <w:top w:w="65" w:type="dxa"/>
              <w:left w:w="75" w:type="dxa"/>
              <w:bottom w:w="65" w:type="dxa"/>
              <w:right w:w="75" w:type="dxa"/>
            </w:tcMar>
          </w:tcPr>
          <w:p w14:paraId="64E95FEB"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15. For Green-e retirement purposes, should AOC's October 1-September 30 fiscal year also be used as the reporting/consumption period shown on the REC retirement documentation, or should another reporting year be used?</w:t>
            </w:r>
          </w:p>
        </w:tc>
        <w:tc>
          <w:tcPr>
            <w:tcW w:w="2614" w:type="dxa"/>
            <w:tcMar>
              <w:top w:w="65" w:type="dxa"/>
              <w:left w:w="75" w:type="dxa"/>
              <w:bottom w:w="65" w:type="dxa"/>
              <w:right w:w="75" w:type="dxa"/>
            </w:tcMar>
          </w:tcPr>
          <w:p w14:paraId="681194BC" w14:textId="0182B428" w:rsidR="00C036FF" w:rsidRPr="00F937DB" w:rsidRDefault="00C036FF">
            <w:pPr>
              <w:rPr>
                <w:rFonts w:ascii="Times New Roman" w:hAnsi="Times New Roman" w:cs="Times New Roman"/>
              </w:rPr>
            </w:pPr>
            <w:r>
              <w:rPr>
                <w:rFonts w:ascii="Times New Roman" w:hAnsi="Times New Roman" w:cs="Times New Roman"/>
              </w:rPr>
              <w:t xml:space="preserve">Yes, use October 1-September </w:t>
            </w:r>
            <w:r w:rsidR="00414268">
              <w:rPr>
                <w:rFonts w:ascii="Times New Roman" w:hAnsi="Times New Roman" w:cs="Times New Roman"/>
              </w:rPr>
              <w:t>30 of each fiscal year.</w:t>
            </w:r>
          </w:p>
        </w:tc>
      </w:tr>
      <w:tr w:rsidR="00C036FF" w:rsidRPr="00F937DB" w14:paraId="0BF9A758" w14:textId="77777777" w:rsidTr="00C036FF">
        <w:trPr>
          <w:cantSplit/>
        </w:trPr>
        <w:tc>
          <w:tcPr>
            <w:tcW w:w="535" w:type="dxa"/>
          </w:tcPr>
          <w:p w14:paraId="33ADB29E" w14:textId="6C944FC0"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16</w:t>
            </w:r>
          </w:p>
        </w:tc>
        <w:tc>
          <w:tcPr>
            <w:tcW w:w="2340" w:type="dxa"/>
            <w:tcMar>
              <w:top w:w="65" w:type="dxa"/>
              <w:left w:w="75" w:type="dxa"/>
              <w:bottom w:w="65" w:type="dxa"/>
              <w:right w:w="75" w:type="dxa"/>
            </w:tcMar>
          </w:tcPr>
          <w:p w14:paraId="2C44AE82" w14:textId="5D0C15D0" w:rsidR="00C036FF" w:rsidRPr="00F937DB" w:rsidRDefault="00C036FF">
            <w:pPr>
              <w:rPr>
                <w:rFonts w:ascii="Times New Roman" w:hAnsi="Times New Roman" w:cs="Times New Roman"/>
              </w:rPr>
            </w:pPr>
            <w:r w:rsidRPr="00F937DB">
              <w:rPr>
                <w:rFonts w:ascii="Times New Roman" w:eastAsia="Arial" w:hAnsi="Times New Roman" w:cs="Times New Roman"/>
              </w:rPr>
              <w:t>J.1 p.6, §5.4</w:t>
            </w:r>
          </w:p>
        </w:tc>
        <w:tc>
          <w:tcPr>
            <w:tcW w:w="3861" w:type="dxa"/>
            <w:tcMar>
              <w:top w:w="65" w:type="dxa"/>
              <w:left w:w="75" w:type="dxa"/>
              <w:bottom w:w="65" w:type="dxa"/>
              <w:right w:w="75" w:type="dxa"/>
            </w:tcMar>
          </w:tcPr>
          <w:p w14:paraId="61E78213"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16. What is the required REC retirement/delivery date for the Base Year and each Option Year?</w:t>
            </w:r>
          </w:p>
        </w:tc>
        <w:tc>
          <w:tcPr>
            <w:tcW w:w="2614" w:type="dxa"/>
            <w:tcMar>
              <w:top w:w="65" w:type="dxa"/>
              <w:left w:w="75" w:type="dxa"/>
              <w:bottom w:w="65" w:type="dxa"/>
              <w:right w:w="75" w:type="dxa"/>
            </w:tcMar>
          </w:tcPr>
          <w:p w14:paraId="0975EC5F" w14:textId="778457B9" w:rsidR="00C036FF" w:rsidRPr="00414268" w:rsidRDefault="00C036FF">
            <w:pPr>
              <w:rPr>
                <w:rFonts w:ascii="Times New Roman" w:hAnsi="Times New Roman" w:cs="Times New Roman"/>
              </w:rPr>
            </w:pPr>
            <w:r w:rsidRPr="00414268">
              <w:rPr>
                <w:rFonts w:ascii="Times New Roman" w:hAnsi="Times New Roman" w:cs="Times New Roman"/>
              </w:rPr>
              <w:t>Date of award and the same for each option year September 28, 20?? Through September 27, 20??</w:t>
            </w:r>
          </w:p>
        </w:tc>
      </w:tr>
      <w:tr w:rsidR="00C036FF" w:rsidRPr="00F937DB" w14:paraId="76885A5E" w14:textId="77777777" w:rsidTr="00C036FF">
        <w:trPr>
          <w:cantSplit/>
        </w:trPr>
        <w:tc>
          <w:tcPr>
            <w:tcW w:w="535" w:type="dxa"/>
          </w:tcPr>
          <w:p w14:paraId="7DB4AAEB" w14:textId="5B7544FE"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17</w:t>
            </w:r>
          </w:p>
        </w:tc>
        <w:tc>
          <w:tcPr>
            <w:tcW w:w="2340" w:type="dxa"/>
            <w:tcMar>
              <w:top w:w="65" w:type="dxa"/>
              <w:left w:w="75" w:type="dxa"/>
              <w:bottom w:w="65" w:type="dxa"/>
              <w:right w:w="75" w:type="dxa"/>
            </w:tcMar>
          </w:tcPr>
          <w:p w14:paraId="0395A29B" w14:textId="29AA1A03" w:rsidR="00C036FF" w:rsidRPr="00F937DB" w:rsidRDefault="00C036FF">
            <w:pPr>
              <w:rPr>
                <w:rFonts w:ascii="Times New Roman" w:hAnsi="Times New Roman" w:cs="Times New Roman"/>
              </w:rPr>
            </w:pPr>
            <w:r w:rsidRPr="00F937DB">
              <w:rPr>
                <w:rFonts w:ascii="Times New Roman" w:eastAsia="Arial" w:hAnsi="Times New Roman" w:cs="Times New Roman"/>
              </w:rPr>
              <w:t>J.1 pp.4-5, §§4.1-4.2</w:t>
            </w:r>
          </w:p>
        </w:tc>
        <w:tc>
          <w:tcPr>
            <w:tcW w:w="3861" w:type="dxa"/>
            <w:tcMar>
              <w:top w:w="65" w:type="dxa"/>
              <w:left w:w="75" w:type="dxa"/>
              <w:bottom w:w="65" w:type="dxa"/>
              <w:right w:w="75" w:type="dxa"/>
            </w:tcMar>
          </w:tcPr>
          <w:p w14:paraId="1E8BBA4D"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17. Please confirm that the Annual Renewable Report for each fiscal year is due by June 30 of the following calendar year. For example, is the report for FY2026 (October 1, 2025-September 30, 2026) due by June 30, 2027?</w:t>
            </w:r>
          </w:p>
        </w:tc>
        <w:tc>
          <w:tcPr>
            <w:tcW w:w="2614" w:type="dxa"/>
            <w:tcMar>
              <w:top w:w="65" w:type="dxa"/>
              <w:left w:w="75" w:type="dxa"/>
              <w:bottom w:w="65" w:type="dxa"/>
              <w:right w:w="75" w:type="dxa"/>
            </w:tcMar>
          </w:tcPr>
          <w:p w14:paraId="7176D2F8" w14:textId="3EF6B144" w:rsidR="00C036FF" w:rsidRPr="00F937DB" w:rsidRDefault="00414268">
            <w:pPr>
              <w:rPr>
                <w:rFonts w:ascii="Times New Roman" w:hAnsi="Times New Roman" w:cs="Times New Roman"/>
              </w:rPr>
            </w:pPr>
            <w:r>
              <w:rPr>
                <w:rFonts w:ascii="Times New Roman" w:hAnsi="Times New Roman" w:cs="Times New Roman"/>
              </w:rPr>
              <w:t>Yes,</w:t>
            </w:r>
            <w:r w:rsidR="00C036FF">
              <w:rPr>
                <w:rFonts w:ascii="Times New Roman" w:hAnsi="Times New Roman" w:cs="Times New Roman"/>
              </w:rPr>
              <w:t xml:space="preserve"> confirm that the Annual Renewable Report is June 30 of the following calendar year. </w:t>
            </w:r>
          </w:p>
        </w:tc>
      </w:tr>
      <w:tr w:rsidR="00C036FF" w:rsidRPr="00F937DB" w14:paraId="1835792B" w14:textId="77777777" w:rsidTr="00C036FF">
        <w:trPr>
          <w:cantSplit/>
        </w:trPr>
        <w:tc>
          <w:tcPr>
            <w:tcW w:w="535" w:type="dxa"/>
          </w:tcPr>
          <w:p w14:paraId="0FD5BB03" w14:textId="2972F1A2"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18</w:t>
            </w:r>
          </w:p>
        </w:tc>
        <w:tc>
          <w:tcPr>
            <w:tcW w:w="2340" w:type="dxa"/>
            <w:tcMar>
              <w:top w:w="65" w:type="dxa"/>
              <w:left w:w="75" w:type="dxa"/>
              <w:bottom w:w="65" w:type="dxa"/>
              <w:right w:w="75" w:type="dxa"/>
            </w:tcMar>
          </w:tcPr>
          <w:p w14:paraId="67FFC61A" w14:textId="170E04AA" w:rsidR="00C036FF" w:rsidRPr="00F937DB" w:rsidRDefault="00C036FF">
            <w:pPr>
              <w:rPr>
                <w:rFonts w:ascii="Times New Roman" w:hAnsi="Times New Roman" w:cs="Times New Roman"/>
              </w:rPr>
            </w:pPr>
            <w:r w:rsidRPr="00F937DB">
              <w:rPr>
                <w:rFonts w:ascii="Times New Roman" w:eastAsia="Arial" w:hAnsi="Times New Roman" w:cs="Times New Roman"/>
              </w:rPr>
              <w:t>J.1 pp.4-6, §§4.0-4.2; J.3; J.4; J.5; J.5a</w:t>
            </w:r>
          </w:p>
        </w:tc>
        <w:tc>
          <w:tcPr>
            <w:tcW w:w="3861" w:type="dxa"/>
            <w:tcMar>
              <w:top w:w="65" w:type="dxa"/>
              <w:left w:w="75" w:type="dxa"/>
              <w:bottom w:w="65" w:type="dxa"/>
              <w:right w:w="75" w:type="dxa"/>
            </w:tcMar>
          </w:tcPr>
          <w:p w14:paraId="5A5FBA52" w14:textId="27A58C81" w:rsidR="00C036FF" w:rsidRPr="00F937DB" w:rsidRDefault="00C036FF">
            <w:pPr>
              <w:rPr>
                <w:rFonts w:ascii="Times New Roman" w:hAnsi="Times New Roman" w:cs="Times New Roman"/>
              </w:rPr>
            </w:pPr>
            <w:r w:rsidRPr="00F937DB">
              <w:rPr>
                <w:rFonts w:ascii="Times New Roman" w:eastAsia="Arial" w:hAnsi="Times New Roman" w:cs="Times New Roman"/>
              </w:rPr>
              <w:t xml:space="preserve">18. What documents are required to satisfy the Annual Renewable Report requirement? Will official REC retirement certificates satisfy the requirement, or </w:t>
            </w:r>
            <w:proofErr w:type="gramStart"/>
            <w:r w:rsidRPr="00F937DB">
              <w:rPr>
                <w:rFonts w:ascii="Times New Roman" w:eastAsia="Arial" w:hAnsi="Times New Roman" w:cs="Times New Roman"/>
              </w:rPr>
              <w:t>is</w:t>
            </w:r>
            <w:proofErr w:type="gramEnd"/>
            <w:r w:rsidRPr="00F937DB">
              <w:rPr>
                <w:rFonts w:ascii="Times New Roman" w:eastAsia="Arial" w:hAnsi="Times New Roman" w:cs="Times New Roman"/>
              </w:rPr>
              <w:t xml:space="preserve"> a separate report required?</w:t>
            </w:r>
          </w:p>
        </w:tc>
        <w:tc>
          <w:tcPr>
            <w:tcW w:w="2614" w:type="dxa"/>
            <w:tcMar>
              <w:top w:w="65" w:type="dxa"/>
              <w:left w:w="75" w:type="dxa"/>
              <w:bottom w:w="65" w:type="dxa"/>
              <w:right w:w="75" w:type="dxa"/>
            </w:tcMar>
          </w:tcPr>
          <w:p w14:paraId="257BC4B1" w14:textId="6E689300" w:rsidR="00C036FF" w:rsidRPr="00F937DB" w:rsidRDefault="00C036FF">
            <w:pPr>
              <w:rPr>
                <w:rFonts w:ascii="Times New Roman" w:hAnsi="Times New Roman" w:cs="Times New Roman"/>
              </w:rPr>
            </w:pPr>
            <w:proofErr w:type="gramStart"/>
            <w:r>
              <w:rPr>
                <w:rFonts w:ascii="Times New Roman" w:hAnsi="Times New Roman" w:cs="Times New Roman"/>
              </w:rPr>
              <w:t>Yes</w:t>
            </w:r>
            <w:proofErr w:type="gramEnd"/>
            <w:r w:rsidR="00414268">
              <w:rPr>
                <w:rFonts w:ascii="Times New Roman" w:hAnsi="Times New Roman" w:cs="Times New Roman"/>
              </w:rPr>
              <w:t xml:space="preserve"> it does satisfy the requirement.</w:t>
            </w:r>
          </w:p>
        </w:tc>
      </w:tr>
      <w:tr w:rsidR="00C036FF" w:rsidRPr="00F937DB" w14:paraId="16FDDF41" w14:textId="77777777" w:rsidTr="00C036FF">
        <w:trPr>
          <w:cantSplit/>
        </w:trPr>
        <w:tc>
          <w:tcPr>
            <w:tcW w:w="535" w:type="dxa"/>
          </w:tcPr>
          <w:p w14:paraId="22FBBB60" w14:textId="2BCA87F0"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19</w:t>
            </w:r>
          </w:p>
        </w:tc>
        <w:tc>
          <w:tcPr>
            <w:tcW w:w="2340" w:type="dxa"/>
            <w:tcMar>
              <w:top w:w="65" w:type="dxa"/>
              <w:left w:w="75" w:type="dxa"/>
              <w:bottom w:w="65" w:type="dxa"/>
              <w:right w:w="75" w:type="dxa"/>
            </w:tcMar>
          </w:tcPr>
          <w:p w14:paraId="5676294E" w14:textId="15741FFC" w:rsidR="00C036FF" w:rsidRPr="00F937DB" w:rsidRDefault="00C036FF">
            <w:pPr>
              <w:rPr>
                <w:rFonts w:ascii="Times New Roman" w:hAnsi="Times New Roman" w:cs="Times New Roman"/>
              </w:rPr>
            </w:pPr>
            <w:r w:rsidRPr="00F937DB">
              <w:rPr>
                <w:rFonts w:ascii="Times New Roman" w:eastAsia="Arial" w:hAnsi="Times New Roman" w:cs="Times New Roman"/>
              </w:rPr>
              <w:t>J.1 pp.4-5, §§4.0-4.2</w:t>
            </w:r>
          </w:p>
        </w:tc>
        <w:tc>
          <w:tcPr>
            <w:tcW w:w="3861" w:type="dxa"/>
            <w:tcMar>
              <w:top w:w="65" w:type="dxa"/>
              <w:left w:w="75" w:type="dxa"/>
              <w:bottom w:w="65" w:type="dxa"/>
              <w:right w:w="75" w:type="dxa"/>
            </w:tcMar>
          </w:tcPr>
          <w:p w14:paraId="0E1B8881"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19. If a separate Annual Renewable Report must be verified and certified by an independent third-party auditor, what type of auditor is acceptable and what specifically must the auditor verify?</w:t>
            </w:r>
          </w:p>
        </w:tc>
        <w:tc>
          <w:tcPr>
            <w:tcW w:w="2614" w:type="dxa"/>
            <w:tcMar>
              <w:top w:w="65" w:type="dxa"/>
              <w:left w:w="75" w:type="dxa"/>
              <w:bottom w:w="65" w:type="dxa"/>
              <w:right w:w="75" w:type="dxa"/>
            </w:tcMar>
          </w:tcPr>
          <w:p w14:paraId="5150774E" w14:textId="0A5DC348" w:rsidR="00C036FF" w:rsidRPr="00F937DB" w:rsidRDefault="00414268">
            <w:pPr>
              <w:rPr>
                <w:rFonts w:ascii="Times New Roman" w:hAnsi="Times New Roman" w:cs="Times New Roman"/>
              </w:rPr>
            </w:pPr>
            <w:r>
              <w:rPr>
                <w:rFonts w:ascii="Times New Roman" w:hAnsi="Times New Roman" w:cs="Times New Roman"/>
              </w:rPr>
              <w:t>Any t</w:t>
            </w:r>
            <w:r w:rsidR="00C036FF">
              <w:rPr>
                <w:rFonts w:ascii="Times New Roman" w:hAnsi="Times New Roman" w:cs="Times New Roman"/>
              </w:rPr>
              <w:t xml:space="preserve">hird-party auditor </w:t>
            </w:r>
            <w:r>
              <w:rPr>
                <w:rFonts w:ascii="Times New Roman" w:hAnsi="Times New Roman" w:cs="Times New Roman"/>
              </w:rPr>
              <w:t xml:space="preserve">that can </w:t>
            </w:r>
            <w:r w:rsidR="00C036FF">
              <w:rPr>
                <w:rFonts w:ascii="Times New Roman" w:hAnsi="Times New Roman" w:cs="Times New Roman"/>
              </w:rPr>
              <w:t>verify that retirement certificates are accurate from supplier.</w:t>
            </w:r>
            <w:r>
              <w:rPr>
                <w:rFonts w:ascii="Times New Roman" w:hAnsi="Times New Roman" w:cs="Times New Roman"/>
              </w:rPr>
              <w:t xml:space="preserve"> As long as they are certified as an auditor.</w:t>
            </w:r>
          </w:p>
        </w:tc>
      </w:tr>
      <w:tr w:rsidR="00C036FF" w:rsidRPr="00F937DB" w14:paraId="769C27D8" w14:textId="77777777" w:rsidTr="00C036FF">
        <w:trPr>
          <w:cantSplit/>
        </w:trPr>
        <w:tc>
          <w:tcPr>
            <w:tcW w:w="535" w:type="dxa"/>
          </w:tcPr>
          <w:p w14:paraId="4F3D7B9E" w14:textId="5970C1E1"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lastRenderedPageBreak/>
              <w:t>20</w:t>
            </w:r>
          </w:p>
        </w:tc>
        <w:tc>
          <w:tcPr>
            <w:tcW w:w="2340" w:type="dxa"/>
            <w:tcMar>
              <w:top w:w="65" w:type="dxa"/>
              <w:left w:w="75" w:type="dxa"/>
              <w:bottom w:w="65" w:type="dxa"/>
              <w:right w:w="75" w:type="dxa"/>
            </w:tcMar>
          </w:tcPr>
          <w:p w14:paraId="246A7404" w14:textId="2E500786" w:rsidR="00C036FF" w:rsidRPr="00F937DB" w:rsidRDefault="00C036FF">
            <w:pPr>
              <w:rPr>
                <w:rFonts w:ascii="Times New Roman" w:hAnsi="Times New Roman" w:cs="Times New Roman"/>
              </w:rPr>
            </w:pPr>
            <w:r w:rsidRPr="00F937DB">
              <w:rPr>
                <w:rFonts w:ascii="Times New Roman" w:eastAsia="Arial" w:hAnsi="Times New Roman" w:cs="Times New Roman"/>
              </w:rPr>
              <w:t>J.1 p.2, §1.4; J.2; SF33 p.46, Section J</w:t>
            </w:r>
          </w:p>
        </w:tc>
        <w:tc>
          <w:tcPr>
            <w:tcW w:w="3861" w:type="dxa"/>
            <w:tcMar>
              <w:top w:w="65" w:type="dxa"/>
              <w:left w:w="75" w:type="dxa"/>
              <w:bottom w:w="65" w:type="dxa"/>
              <w:right w:w="75" w:type="dxa"/>
            </w:tcMar>
          </w:tcPr>
          <w:p w14:paraId="22F18829"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20. J.1 refers to percentages listed in Appendix A, but Appendix A does not appear in the list of attachments. Are the account volumes in J.2 intended to replace Appendix A, or can AOC please provide Appendix A?</w:t>
            </w:r>
          </w:p>
        </w:tc>
        <w:tc>
          <w:tcPr>
            <w:tcW w:w="2614" w:type="dxa"/>
            <w:tcMar>
              <w:top w:w="65" w:type="dxa"/>
              <w:left w:w="75" w:type="dxa"/>
              <w:bottom w:w="65" w:type="dxa"/>
              <w:right w:w="75" w:type="dxa"/>
            </w:tcMar>
          </w:tcPr>
          <w:p w14:paraId="2701440B" w14:textId="5D49AA6A" w:rsidR="00C036FF" w:rsidRPr="00F937DB" w:rsidRDefault="00414268">
            <w:pPr>
              <w:rPr>
                <w:rFonts w:ascii="Times New Roman" w:hAnsi="Times New Roman" w:cs="Times New Roman"/>
              </w:rPr>
            </w:pPr>
            <w:r w:rsidRPr="006D3BE7">
              <w:rPr>
                <w:rFonts w:ascii="Times New Roman" w:hAnsi="Times New Roman" w:cs="Times New Roman"/>
              </w:rPr>
              <w:t xml:space="preserve">Yes, Within J.2 is the list of locations and utility accounts for the purpose of pricing certificates. </w:t>
            </w:r>
            <w:r w:rsidR="006D3BE7" w:rsidRPr="006D3BE7">
              <w:rPr>
                <w:rFonts w:ascii="Times New Roman" w:hAnsi="Times New Roman" w:cs="Times New Roman"/>
              </w:rPr>
              <w:t>The “Appendix A” wording should be strike through and omitted.</w:t>
            </w:r>
          </w:p>
        </w:tc>
      </w:tr>
      <w:tr w:rsidR="00C036FF" w:rsidRPr="00F937DB" w14:paraId="7C7BF326" w14:textId="77777777" w:rsidTr="00C036FF">
        <w:trPr>
          <w:cantSplit/>
        </w:trPr>
        <w:tc>
          <w:tcPr>
            <w:tcW w:w="535" w:type="dxa"/>
          </w:tcPr>
          <w:p w14:paraId="42BEBC3D" w14:textId="5F4FAAA1"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21</w:t>
            </w:r>
          </w:p>
        </w:tc>
        <w:tc>
          <w:tcPr>
            <w:tcW w:w="2340" w:type="dxa"/>
            <w:tcMar>
              <w:top w:w="65" w:type="dxa"/>
              <w:left w:w="75" w:type="dxa"/>
              <w:bottom w:w="65" w:type="dxa"/>
              <w:right w:w="75" w:type="dxa"/>
            </w:tcMar>
          </w:tcPr>
          <w:p w14:paraId="5FB17F1B" w14:textId="04BC315F" w:rsidR="00C036FF" w:rsidRPr="00F937DB" w:rsidRDefault="00C036FF">
            <w:pPr>
              <w:rPr>
                <w:rFonts w:ascii="Times New Roman" w:hAnsi="Times New Roman" w:cs="Times New Roman"/>
              </w:rPr>
            </w:pPr>
            <w:r w:rsidRPr="00F937DB">
              <w:rPr>
                <w:rFonts w:ascii="Times New Roman" w:eastAsia="Arial" w:hAnsi="Times New Roman" w:cs="Times New Roman"/>
              </w:rPr>
              <w:t>J.3, Generator Registration Form</w:t>
            </w:r>
          </w:p>
        </w:tc>
        <w:tc>
          <w:tcPr>
            <w:tcW w:w="3861" w:type="dxa"/>
            <w:tcMar>
              <w:top w:w="65" w:type="dxa"/>
              <w:left w:w="75" w:type="dxa"/>
              <w:bottom w:w="65" w:type="dxa"/>
              <w:right w:w="75" w:type="dxa"/>
            </w:tcMar>
          </w:tcPr>
          <w:p w14:paraId="37660F8B"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21. If the Contractor sources the RECs through another supplier or intermediary rather than directly from the generator, is a documented chain of title acceptable?</w:t>
            </w:r>
          </w:p>
        </w:tc>
        <w:tc>
          <w:tcPr>
            <w:tcW w:w="2614" w:type="dxa"/>
            <w:tcMar>
              <w:top w:w="65" w:type="dxa"/>
              <w:left w:w="75" w:type="dxa"/>
              <w:bottom w:w="65" w:type="dxa"/>
              <w:right w:w="75" w:type="dxa"/>
            </w:tcMar>
          </w:tcPr>
          <w:p w14:paraId="616F0E14" w14:textId="60FE844C" w:rsidR="00C036FF" w:rsidRPr="00F937DB" w:rsidRDefault="00C036FF">
            <w:pPr>
              <w:rPr>
                <w:rFonts w:ascii="Times New Roman" w:hAnsi="Times New Roman" w:cs="Times New Roman"/>
              </w:rPr>
            </w:pPr>
            <w:r>
              <w:rPr>
                <w:rFonts w:ascii="Times New Roman" w:hAnsi="Times New Roman" w:cs="Times New Roman"/>
              </w:rPr>
              <w:t xml:space="preserve">Yes, </w:t>
            </w:r>
            <w:r w:rsidR="006D3BE7">
              <w:rPr>
                <w:rFonts w:ascii="Times New Roman" w:hAnsi="Times New Roman" w:cs="Times New Roman"/>
              </w:rPr>
              <w:t xml:space="preserve">it </w:t>
            </w:r>
            <w:r>
              <w:rPr>
                <w:rFonts w:ascii="Times New Roman" w:hAnsi="Times New Roman" w:cs="Times New Roman"/>
              </w:rPr>
              <w:t>is acceptable</w:t>
            </w:r>
            <w:r w:rsidR="006D3BE7">
              <w:rPr>
                <w:rFonts w:ascii="Times New Roman" w:hAnsi="Times New Roman" w:cs="Times New Roman"/>
              </w:rPr>
              <w:t>.</w:t>
            </w:r>
          </w:p>
        </w:tc>
      </w:tr>
      <w:tr w:rsidR="00C036FF" w:rsidRPr="00F937DB" w14:paraId="7D83CEAA" w14:textId="77777777" w:rsidTr="00C036FF">
        <w:trPr>
          <w:cantSplit/>
        </w:trPr>
        <w:tc>
          <w:tcPr>
            <w:tcW w:w="535" w:type="dxa"/>
          </w:tcPr>
          <w:p w14:paraId="3220959D" w14:textId="732DF79B"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22</w:t>
            </w:r>
          </w:p>
        </w:tc>
        <w:tc>
          <w:tcPr>
            <w:tcW w:w="2340" w:type="dxa"/>
            <w:tcMar>
              <w:top w:w="65" w:type="dxa"/>
              <w:left w:w="75" w:type="dxa"/>
              <w:bottom w:w="65" w:type="dxa"/>
              <w:right w:w="75" w:type="dxa"/>
            </w:tcMar>
          </w:tcPr>
          <w:p w14:paraId="3A2BE97F" w14:textId="2A4848E0" w:rsidR="00C036FF" w:rsidRPr="00F937DB" w:rsidRDefault="00C036FF">
            <w:pPr>
              <w:rPr>
                <w:rFonts w:ascii="Times New Roman" w:hAnsi="Times New Roman" w:cs="Times New Roman"/>
              </w:rPr>
            </w:pPr>
            <w:r w:rsidRPr="00F937DB">
              <w:rPr>
                <w:rFonts w:ascii="Times New Roman" w:eastAsia="Arial" w:hAnsi="Times New Roman" w:cs="Times New Roman"/>
              </w:rPr>
              <w:t>J.1 pp.6-7, §5.5(4)</w:t>
            </w:r>
          </w:p>
        </w:tc>
        <w:tc>
          <w:tcPr>
            <w:tcW w:w="3861" w:type="dxa"/>
            <w:tcMar>
              <w:top w:w="65" w:type="dxa"/>
              <w:left w:w="75" w:type="dxa"/>
              <w:bottom w:w="65" w:type="dxa"/>
              <w:right w:w="75" w:type="dxa"/>
            </w:tcMar>
          </w:tcPr>
          <w:p w14:paraId="41A98E2B" w14:textId="77777777" w:rsidR="00C036FF" w:rsidRPr="00F937DB" w:rsidRDefault="00C036FF">
            <w:pPr>
              <w:rPr>
                <w:rFonts w:ascii="Times New Roman" w:hAnsi="Times New Roman" w:cs="Times New Roman"/>
              </w:rPr>
            </w:pPr>
            <w:r w:rsidRPr="00F937DB">
              <w:rPr>
                <w:rFonts w:ascii="Times New Roman" w:eastAsia="Arial" w:hAnsi="Times New Roman" w:cs="Times New Roman"/>
              </w:rPr>
              <w:t>22. Please clarify what is meant by 'the quantity available from source facility that will be under contract elsewhere.' What information should the offeror provide for this requirement?</w:t>
            </w:r>
          </w:p>
        </w:tc>
        <w:tc>
          <w:tcPr>
            <w:tcW w:w="2614" w:type="dxa"/>
            <w:tcMar>
              <w:top w:w="65" w:type="dxa"/>
              <w:left w:w="75" w:type="dxa"/>
              <w:bottom w:w="65" w:type="dxa"/>
              <w:right w:w="75" w:type="dxa"/>
            </w:tcMar>
          </w:tcPr>
          <w:p w14:paraId="20BFEA14" w14:textId="08A254A5" w:rsidR="00C036FF" w:rsidRPr="00F937DB" w:rsidRDefault="006D3BE7">
            <w:pPr>
              <w:rPr>
                <w:rFonts w:ascii="Times New Roman" w:hAnsi="Times New Roman" w:cs="Times New Roman"/>
              </w:rPr>
            </w:pPr>
            <w:r w:rsidRPr="006D3BE7">
              <w:rPr>
                <w:rFonts w:ascii="Times New Roman" w:hAnsi="Times New Roman" w:cs="Times New Roman"/>
              </w:rPr>
              <w:t>AOC seeks to ensure that the facility’s total capacity is not fully committed to other contracts. Additionally, AOC aims to prevent the possibility of the same RECs being obligated to multiple customers.</w:t>
            </w:r>
          </w:p>
        </w:tc>
      </w:tr>
      <w:tr w:rsidR="00C036FF" w:rsidRPr="00F937DB" w14:paraId="22FE8C96" w14:textId="77777777" w:rsidTr="00C036FF">
        <w:trPr>
          <w:cantSplit/>
        </w:trPr>
        <w:tc>
          <w:tcPr>
            <w:tcW w:w="535" w:type="dxa"/>
          </w:tcPr>
          <w:p w14:paraId="6FEDFA8E" w14:textId="7B04C633" w:rsidR="00C036FF" w:rsidRPr="00236E81" w:rsidRDefault="00C036FF" w:rsidP="00C036FF">
            <w:pPr>
              <w:jc w:val="center"/>
              <w:rPr>
                <w:rFonts w:ascii="Times New Roman" w:hAnsi="Times New Roman" w:cs="Times New Roman"/>
              </w:rPr>
            </w:pPr>
            <w:r>
              <w:rPr>
                <w:rFonts w:ascii="Times New Roman" w:hAnsi="Times New Roman" w:cs="Times New Roman"/>
              </w:rPr>
              <w:t>23</w:t>
            </w:r>
          </w:p>
        </w:tc>
        <w:tc>
          <w:tcPr>
            <w:tcW w:w="2340" w:type="dxa"/>
            <w:tcMar>
              <w:top w:w="65" w:type="dxa"/>
              <w:left w:w="75" w:type="dxa"/>
              <w:bottom w:w="65" w:type="dxa"/>
              <w:right w:w="75" w:type="dxa"/>
            </w:tcMar>
          </w:tcPr>
          <w:p w14:paraId="66EAEE78" w14:textId="27187284" w:rsidR="00C036FF" w:rsidRPr="00236E81" w:rsidRDefault="00C036FF" w:rsidP="00236E81">
            <w:pPr>
              <w:rPr>
                <w:rFonts w:ascii="Times New Roman" w:eastAsia="Arial" w:hAnsi="Times New Roman" w:cs="Times New Roman"/>
              </w:rPr>
            </w:pPr>
            <w:r w:rsidRPr="00236E81">
              <w:rPr>
                <w:rFonts w:ascii="Times New Roman" w:hAnsi="Times New Roman" w:cs="Times New Roman"/>
              </w:rPr>
              <w:t>J.1 pp.6-7, §5.5(4)</w:t>
            </w:r>
          </w:p>
        </w:tc>
        <w:tc>
          <w:tcPr>
            <w:tcW w:w="3861" w:type="dxa"/>
            <w:tcMar>
              <w:top w:w="65" w:type="dxa"/>
              <w:left w:w="75" w:type="dxa"/>
              <w:bottom w:w="65" w:type="dxa"/>
              <w:right w:w="75" w:type="dxa"/>
            </w:tcMar>
          </w:tcPr>
          <w:p w14:paraId="5DCB5E3D" w14:textId="49752DC2" w:rsidR="00C036FF" w:rsidRPr="00236E81" w:rsidRDefault="00C036FF" w:rsidP="00236E81">
            <w:pPr>
              <w:rPr>
                <w:rFonts w:ascii="Times New Roman" w:eastAsia="Arial" w:hAnsi="Times New Roman" w:cs="Times New Roman"/>
              </w:rPr>
            </w:pPr>
            <w:r w:rsidRPr="00236E81">
              <w:rPr>
                <w:rFonts w:ascii="Times New Roman" w:hAnsi="Times New Roman" w:cs="Times New Roman"/>
              </w:rPr>
              <w:t>23. If the information requested in Section 5.5(4) about volumes contracted elsewhere is confidential or not available to the offeror, will AOC accept the quantity of RECs being offered to AOC instead?</w:t>
            </w:r>
          </w:p>
        </w:tc>
        <w:tc>
          <w:tcPr>
            <w:tcW w:w="2614" w:type="dxa"/>
            <w:tcMar>
              <w:top w:w="65" w:type="dxa"/>
              <w:left w:w="75" w:type="dxa"/>
              <w:bottom w:w="65" w:type="dxa"/>
              <w:right w:w="75" w:type="dxa"/>
            </w:tcMar>
          </w:tcPr>
          <w:p w14:paraId="5DEB3289" w14:textId="52047D8E" w:rsidR="00C036FF" w:rsidRPr="00F937DB" w:rsidRDefault="00C036FF" w:rsidP="00236E81">
            <w:pPr>
              <w:rPr>
                <w:rFonts w:ascii="Times New Roman" w:hAnsi="Times New Roman" w:cs="Times New Roman"/>
              </w:rPr>
            </w:pPr>
            <w:r>
              <w:rPr>
                <w:rFonts w:ascii="Times New Roman" w:hAnsi="Times New Roman" w:cs="Times New Roman"/>
              </w:rPr>
              <w:t xml:space="preserve">Total amount contracted elsewhere to other customers versus facility capacity. </w:t>
            </w:r>
            <w:r w:rsidR="006D3BE7">
              <w:rPr>
                <w:rFonts w:ascii="Times New Roman" w:hAnsi="Times New Roman" w:cs="Times New Roman"/>
              </w:rPr>
              <w:t>Also,</w:t>
            </w:r>
            <w:r>
              <w:rPr>
                <w:rFonts w:ascii="Times New Roman" w:hAnsi="Times New Roman" w:cs="Times New Roman"/>
              </w:rPr>
              <w:t xml:space="preserve"> the amount of AOC RECs </w:t>
            </w:r>
            <w:r w:rsidR="006D3BE7">
              <w:rPr>
                <w:rFonts w:ascii="Times New Roman" w:hAnsi="Times New Roman" w:cs="Times New Roman"/>
              </w:rPr>
              <w:t>offered by</w:t>
            </w:r>
            <w:r>
              <w:rPr>
                <w:rFonts w:ascii="Times New Roman" w:hAnsi="Times New Roman" w:cs="Times New Roman"/>
              </w:rPr>
              <w:t xml:space="preserve"> that facility is acceptable.</w:t>
            </w:r>
          </w:p>
        </w:tc>
      </w:tr>
      <w:tr w:rsidR="00C036FF" w:rsidRPr="00F937DB" w14:paraId="52B6657D" w14:textId="77777777" w:rsidTr="00C036FF">
        <w:trPr>
          <w:cantSplit/>
        </w:trPr>
        <w:tc>
          <w:tcPr>
            <w:tcW w:w="535" w:type="dxa"/>
          </w:tcPr>
          <w:p w14:paraId="26A28B69" w14:textId="57419506"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24</w:t>
            </w:r>
          </w:p>
        </w:tc>
        <w:tc>
          <w:tcPr>
            <w:tcW w:w="2340" w:type="dxa"/>
            <w:tcMar>
              <w:top w:w="65" w:type="dxa"/>
              <w:left w:w="75" w:type="dxa"/>
              <w:bottom w:w="65" w:type="dxa"/>
              <w:right w:w="75" w:type="dxa"/>
            </w:tcMar>
          </w:tcPr>
          <w:p w14:paraId="449C41F3" w14:textId="17B21A2A" w:rsidR="00C036FF" w:rsidRPr="00F937DB" w:rsidRDefault="00C036FF" w:rsidP="00236E81">
            <w:pPr>
              <w:rPr>
                <w:rFonts w:ascii="Times New Roman" w:hAnsi="Times New Roman" w:cs="Times New Roman"/>
              </w:rPr>
            </w:pPr>
            <w:r w:rsidRPr="00F937DB">
              <w:rPr>
                <w:rFonts w:ascii="Times New Roman" w:eastAsia="Arial" w:hAnsi="Times New Roman" w:cs="Times New Roman"/>
              </w:rPr>
              <w:t>J.3; J.4; J.5; J.5a; J.6 L.3</w:t>
            </w:r>
          </w:p>
        </w:tc>
        <w:tc>
          <w:tcPr>
            <w:tcW w:w="3861" w:type="dxa"/>
            <w:tcMar>
              <w:top w:w="65" w:type="dxa"/>
              <w:left w:w="75" w:type="dxa"/>
              <w:bottom w:w="65" w:type="dxa"/>
              <w:right w:w="75" w:type="dxa"/>
            </w:tcMar>
          </w:tcPr>
          <w:p w14:paraId="399ADA39" w14:textId="74C30407" w:rsidR="00C036FF" w:rsidRPr="00F937DB" w:rsidRDefault="00C036FF" w:rsidP="00236E81">
            <w:pPr>
              <w:rPr>
                <w:rFonts w:ascii="Times New Roman" w:hAnsi="Times New Roman" w:cs="Times New Roman"/>
              </w:rPr>
            </w:pPr>
            <w:r w:rsidRPr="00F937DB">
              <w:rPr>
                <w:rFonts w:ascii="Times New Roman" w:eastAsia="Arial" w:hAnsi="Times New Roman" w:cs="Times New Roman"/>
              </w:rPr>
              <w:t>2</w:t>
            </w:r>
            <w:r>
              <w:rPr>
                <w:rFonts w:ascii="Times New Roman" w:eastAsia="Arial" w:hAnsi="Times New Roman" w:cs="Times New Roman"/>
              </w:rPr>
              <w:t>4</w:t>
            </w:r>
            <w:r w:rsidRPr="00F937DB">
              <w:rPr>
                <w:rFonts w:ascii="Times New Roman" w:eastAsia="Arial" w:hAnsi="Times New Roman" w:cs="Times New Roman"/>
              </w:rPr>
              <w:t>. Please confirm whether Attachments J.3, J.4, J.5, and J.5a are required with the initial quotation, or whether they are intended to be completed after award as part of REC delivery, invoicing, and annual reporting.</w:t>
            </w:r>
          </w:p>
        </w:tc>
        <w:tc>
          <w:tcPr>
            <w:tcW w:w="2614" w:type="dxa"/>
            <w:tcMar>
              <w:top w:w="65" w:type="dxa"/>
              <w:left w:w="75" w:type="dxa"/>
              <w:bottom w:w="65" w:type="dxa"/>
              <w:right w:w="75" w:type="dxa"/>
            </w:tcMar>
          </w:tcPr>
          <w:p w14:paraId="04B29979" w14:textId="028A8512" w:rsidR="00C036FF" w:rsidRPr="00EA1784" w:rsidRDefault="006D3BE7" w:rsidP="00236E81">
            <w:pPr>
              <w:rPr>
                <w:rFonts w:ascii="Times New Roman" w:hAnsi="Times New Roman" w:cs="Times New Roman"/>
              </w:rPr>
            </w:pPr>
            <w:r w:rsidRPr="006D3BE7">
              <w:rPr>
                <w:rFonts w:ascii="Times New Roman" w:hAnsi="Times New Roman" w:cs="Times New Roman"/>
              </w:rPr>
              <w:t>These are preliminary documents. The referenced attachments will be required only after award.</w:t>
            </w:r>
          </w:p>
        </w:tc>
      </w:tr>
      <w:tr w:rsidR="00C036FF" w:rsidRPr="00F937DB" w14:paraId="43FC55F7" w14:textId="77777777" w:rsidTr="00C036FF">
        <w:trPr>
          <w:cantSplit/>
        </w:trPr>
        <w:tc>
          <w:tcPr>
            <w:tcW w:w="535" w:type="dxa"/>
          </w:tcPr>
          <w:p w14:paraId="3AC91D8F" w14:textId="1419624A"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25</w:t>
            </w:r>
          </w:p>
        </w:tc>
        <w:tc>
          <w:tcPr>
            <w:tcW w:w="2340" w:type="dxa"/>
            <w:tcMar>
              <w:top w:w="65" w:type="dxa"/>
              <w:left w:w="75" w:type="dxa"/>
              <w:bottom w:w="65" w:type="dxa"/>
              <w:right w:w="75" w:type="dxa"/>
            </w:tcMar>
          </w:tcPr>
          <w:p w14:paraId="3A603E88" w14:textId="44CAFFEE" w:rsidR="00C036FF" w:rsidRPr="00F937DB" w:rsidRDefault="00C036FF" w:rsidP="00236E81">
            <w:pPr>
              <w:rPr>
                <w:rFonts w:ascii="Times New Roman" w:hAnsi="Times New Roman" w:cs="Times New Roman"/>
              </w:rPr>
            </w:pPr>
            <w:r w:rsidRPr="00F937DB">
              <w:rPr>
                <w:rFonts w:ascii="Times New Roman" w:eastAsia="Arial" w:hAnsi="Times New Roman" w:cs="Times New Roman"/>
              </w:rPr>
              <w:t>J.3; J.6 p.4, L.3.4(2)</w:t>
            </w:r>
          </w:p>
        </w:tc>
        <w:tc>
          <w:tcPr>
            <w:tcW w:w="3861" w:type="dxa"/>
            <w:tcMar>
              <w:top w:w="65" w:type="dxa"/>
              <w:left w:w="75" w:type="dxa"/>
              <w:bottom w:w="65" w:type="dxa"/>
              <w:right w:w="75" w:type="dxa"/>
            </w:tcMar>
          </w:tcPr>
          <w:p w14:paraId="194BC43F" w14:textId="23EAE181" w:rsidR="00C036FF" w:rsidRPr="00F937DB" w:rsidRDefault="00C036FF" w:rsidP="00236E81">
            <w:pPr>
              <w:rPr>
                <w:rFonts w:ascii="Times New Roman" w:hAnsi="Times New Roman" w:cs="Times New Roman"/>
              </w:rPr>
            </w:pPr>
            <w:r w:rsidRPr="00F937DB">
              <w:rPr>
                <w:rFonts w:ascii="Times New Roman" w:eastAsia="Arial" w:hAnsi="Times New Roman" w:cs="Times New Roman"/>
              </w:rPr>
              <w:t>2</w:t>
            </w:r>
            <w:r>
              <w:rPr>
                <w:rFonts w:ascii="Times New Roman" w:eastAsia="Arial" w:hAnsi="Times New Roman" w:cs="Times New Roman"/>
              </w:rPr>
              <w:t>5</w:t>
            </w:r>
            <w:r w:rsidRPr="00F937DB">
              <w:rPr>
                <w:rFonts w:ascii="Times New Roman" w:eastAsia="Arial" w:hAnsi="Times New Roman" w:cs="Times New Roman"/>
              </w:rPr>
              <w:t>. If J.3 is not required with the initial quotation, is the generator information requested in the technical proposal sufficient at quotation stage, with the signed Generator Registration Form provided later?</w:t>
            </w:r>
          </w:p>
        </w:tc>
        <w:tc>
          <w:tcPr>
            <w:tcW w:w="2614" w:type="dxa"/>
            <w:tcMar>
              <w:top w:w="65" w:type="dxa"/>
              <w:left w:w="75" w:type="dxa"/>
              <w:bottom w:w="65" w:type="dxa"/>
              <w:right w:w="75" w:type="dxa"/>
            </w:tcMar>
          </w:tcPr>
          <w:p w14:paraId="0AB45A64" w14:textId="46AE4787" w:rsidR="00C036FF" w:rsidRPr="00F937DB" w:rsidRDefault="00C036FF" w:rsidP="00236E81">
            <w:pPr>
              <w:rPr>
                <w:rFonts w:ascii="Times New Roman" w:hAnsi="Times New Roman" w:cs="Times New Roman"/>
              </w:rPr>
            </w:pPr>
            <w:r>
              <w:rPr>
                <w:rFonts w:ascii="Times New Roman" w:hAnsi="Times New Roman" w:cs="Times New Roman"/>
              </w:rPr>
              <w:t>Yes, the generator information is sufficient.</w:t>
            </w:r>
          </w:p>
        </w:tc>
      </w:tr>
      <w:tr w:rsidR="00C036FF" w:rsidRPr="00F937DB" w14:paraId="06351DBB" w14:textId="77777777" w:rsidTr="00C036FF">
        <w:trPr>
          <w:cantSplit/>
        </w:trPr>
        <w:tc>
          <w:tcPr>
            <w:tcW w:w="535" w:type="dxa"/>
          </w:tcPr>
          <w:p w14:paraId="53797B8B" w14:textId="1EB52714"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lastRenderedPageBreak/>
              <w:t>26</w:t>
            </w:r>
          </w:p>
        </w:tc>
        <w:tc>
          <w:tcPr>
            <w:tcW w:w="2340" w:type="dxa"/>
            <w:tcMar>
              <w:top w:w="65" w:type="dxa"/>
              <w:left w:w="75" w:type="dxa"/>
              <w:bottom w:w="65" w:type="dxa"/>
              <w:right w:w="75" w:type="dxa"/>
            </w:tcMar>
          </w:tcPr>
          <w:p w14:paraId="427AC1F1" w14:textId="507FD775" w:rsidR="00C036FF" w:rsidRPr="00F937DB" w:rsidRDefault="00C036FF" w:rsidP="00236E81">
            <w:pPr>
              <w:rPr>
                <w:rFonts w:ascii="Times New Roman" w:hAnsi="Times New Roman" w:cs="Times New Roman"/>
              </w:rPr>
            </w:pPr>
            <w:r w:rsidRPr="00F937DB">
              <w:rPr>
                <w:rFonts w:ascii="Times New Roman" w:eastAsia="Arial" w:hAnsi="Times New Roman" w:cs="Times New Roman"/>
              </w:rPr>
              <w:t>J.2 Summary; SF33 p.5, Section B</w:t>
            </w:r>
          </w:p>
        </w:tc>
        <w:tc>
          <w:tcPr>
            <w:tcW w:w="3861" w:type="dxa"/>
            <w:tcMar>
              <w:top w:w="65" w:type="dxa"/>
              <w:left w:w="75" w:type="dxa"/>
              <w:bottom w:w="65" w:type="dxa"/>
              <w:right w:w="75" w:type="dxa"/>
            </w:tcMar>
          </w:tcPr>
          <w:p w14:paraId="7A6F12E3" w14:textId="076059B9" w:rsidR="00C036FF" w:rsidRPr="00F937DB" w:rsidRDefault="00C036FF" w:rsidP="00236E81">
            <w:pPr>
              <w:rPr>
                <w:rFonts w:ascii="Times New Roman" w:hAnsi="Times New Roman" w:cs="Times New Roman"/>
              </w:rPr>
            </w:pPr>
            <w:r w:rsidRPr="00F937DB">
              <w:rPr>
                <w:rFonts w:ascii="Times New Roman" w:eastAsia="Arial" w:hAnsi="Times New Roman" w:cs="Times New Roman"/>
              </w:rPr>
              <w:t>2</w:t>
            </w:r>
            <w:r>
              <w:rPr>
                <w:rFonts w:ascii="Times New Roman" w:eastAsia="Arial" w:hAnsi="Times New Roman" w:cs="Times New Roman"/>
              </w:rPr>
              <w:t>6</w:t>
            </w:r>
            <w:r w:rsidRPr="00F937DB">
              <w:rPr>
                <w:rFonts w:ascii="Times New Roman" w:eastAsia="Arial" w:hAnsi="Times New Roman" w:cs="Times New Roman"/>
              </w:rPr>
              <w:t>. The J.2 Summary appears to calculate an earlier end date for Option Year 4, while Section B of the SF33 states September 27, 2031. Please confirm that September 27, 2031 is the correct end date and whether AOC will issue a corrected J.2 pricing sheet.</w:t>
            </w:r>
          </w:p>
        </w:tc>
        <w:tc>
          <w:tcPr>
            <w:tcW w:w="2614" w:type="dxa"/>
            <w:tcMar>
              <w:top w:w="65" w:type="dxa"/>
              <w:left w:w="75" w:type="dxa"/>
              <w:bottom w:w="65" w:type="dxa"/>
              <w:right w:w="75" w:type="dxa"/>
            </w:tcMar>
          </w:tcPr>
          <w:p w14:paraId="12349497" w14:textId="47CBCCE3" w:rsidR="00C036FF" w:rsidRPr="00F937DB" w:rsidRDefault="00C50CA5" w:rsidP="00236E81">
            <w:pPr>
              <w:rPr>
                <w:rFonts w:ascii="Times New Roman" w:hAnsi="Times New Roman" w:cs="Times New Roman"/>
              </w:rPr>
            </w:pPr>
            <w:r>
              <w:rPr>
                <w:rFonts w:ascii="Times New Roman" w:hAnsi="Times New Roman" w:cs="Times New Roman"/>
              </w:rPr>
              <w:t>The J.2 pricing sheet will be added to the amendment as version (v.1)</w:t>
            </w:r>
          </w:p>
        </w:tc>
      </w:tr>
      <w:tr w:rsidR="00C036FF" w:rsidRPr="00F937DB" w14:paraId="18D3F1AA" w14:textId="77777777" w:rsidTr="00C036FF">
        <w:trPr>
          <w:cantSplit/>
        </w:trPr>
        <w:tc>
          <w:tcPr>
            <w:tcW w:w="535" w:type="dxa"/>
          </w:tcPr>
          <w:p w14:paraId="77D00197" w14:textId="39327DF8"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27</w:t>
            </w:r>
          </w:p>
        </w:tc>
        <w:tc>
          <w:tcPr>
            <w:tcW w:w="2340" w:type="dxa"/>
            <w:tcMar>
              <w:top w:w="65" w:type="dxa"/>
              <w:left w:w="75" w:type="dxa"/>
              <w:bottom w:w="65" w:type="dxa"/>
              <w:right w:w="75" w:type="dxa"/>
            </w:tcMar>
          </w:tcPr>
          <w:p w14:paraId="3EC23D3D" w14:textId="76856DBE" w:rsidR="00C036FF" w:rsidRPr="00F937DB" w:rsidRDefault="00C036FF" w:rsidP="00236E81">
            <w:pPr>
              <w:rPr>
                <w:rFonts w:ascii="Times New Roman" w:hAnsi="Times New Roman" w:cs="Times New Roman"/>
              </w:rPr>
            </w:pPr>
            <w:r w:rsidRPr="00F937DB">
              <w:rPr>
                <w:rFonts w:ascii="Times New Roman" w:eastAsia="Arial" w:hAnsi="Times New Roman" w:cs="Times New Roman"/>
              </w:rPr>
              <w:t>J.6 p.1, L.1; SF33 p.1, Item 12</w:t>
            </w:r>
          </w:p>
        </w:tc>
        <w:tc>
          <w:tcPr>
            <w:tcW w:w="3861" w:type="dxa"/>
            <w:tcMar>
              <w:top w:w="65" w:type="dxa"/>
              <w:left w:w="75" w:type="dxa"/>
              <w:bottom w:w="65" w:type="dxa"/>
              <w:right w:w="75" w:type="dxa"/>
            </w:tcMar>
          </w:tcPr>
          <w:p w14:paraId="3CB430BE" w14:textId="165ED265" w:rsidR="00C036FF" w:rsidRPr="00F937DB" w:rsidRDefault="00C036FF" w:rsidP="00236E81">
            <w:pPr>
              <w:rPr>
                <w:rFonts w:ascii="Times New Roman" w:hAnsi="Times New Roman" w:cs="Times New Roman"/>
              </w:rPr>
            </w:pPr>
            <w:r w:rsidRPr="00F937DB">
              <w:rPr>
                <w:rFonts w:ascii="Times New Roman" w:eastAsia="Arial" w:hAnsi="Times New Roman" w:cs="Times New Roman"/>
              </w:rPr>
              <w:t>2</w:t>
            </w:r>
            <w:r>
              <w:rPr>
                <w:rFonts w:ascii="Times New Roman" w:eastAsia="Arial" w:hAnsi="Times New Roman" w:cs="Times New Roman"/>
              </w:rPr>
              <w:t>7</w:t>
            </w:r>
            <w:r w:rsidRPr="00F937DB">
              <w:rPr>
                <w:rFonts w:ascii="Times New Roman" w:eastAsia="Arial" w:hAnsi="Times New Roman" w:cs="Times New Roman"/>
              </w:rPr>
              <w:t>. J.6 states that quotations are valid until September 30, 2026, while SF33 Item 12 defaults to a 60-calendar-day acceptance period unless a different period is entered. Please confirm the required quotation validity period and what offerors should enter in SF33 Item 12.</w:t>
            </w:r>
          </w:p>
        </w:tc>
        <w:tc>
          <w:tcPr>
            <w:tcW w:w="2614" w:type="dxa"/>
            <w:tcMar>
              <w:top w:w="65" w:type="dxa"/>
              <w:left w:w="75" w:type="dxa"/>
              <w:bottom w:w="65" w:type="dxa"/>
              <w:right w:w="75" w:type="dxa"/>
            </w:tcMar>
          </w:tcPr>
          <w:p w14:paraId="67BEABDB" w14:textId="50C372A8" w:rsidR="00C036FF" w:rsidRPr="003572B2" w:rsidRDefault="00C50CA5" w:rsidP="00236E81">
            <w:pPr>
              <w:rPr>
                <w:rFonts w:ascii="Times New Roman" w:hAnsi="Times New Roman" w:cs="Times New Roman"/>
              </w:rPr>
            </w:pPr>
            <w:r w:rsidRPr="003572B2">
              <w:rPr>
                <w:rFonts w:ascii="Times New Roman" w:hAnsi="Times New Roman" w:cs="Times New Roman"/>
              </w:rPr>
              <w:t>Block 12 of the SF-33 automatically populates that number as a default; please disregard it. Due to the urgency of this requirement, the AOC requests that pricing remain valid through September 30, 2026, to allow sufficient time to make an award.</w:t>
            </w:r>
          </w:p>
        </w:tc>
      </w:tr>
      <w:tr w:rsidR="00C036FF" w:rsidRPr="00F937DB" w14:paraId="3CA46B53" w14:textId="77777777" w:rsidTr="00C036FF">
        <w:trPr>
          <w:cantSplit/>
        </w:trPr>
        <w:tc>
          <w:tcPr>
            <w:tcW w:w="535" w:type="dxa"/>
          </w:tcPr>
          <w:p w14:paraId="1FE0BAA2" w14:textId="5A64A260" w:rsidR="00C036FF" w:rsidRPr="00F937DB" w:rsidRDefault="00C036FF" w:rsidP="00C036FF">
            <w:pPr>
              <w:jc w:val="center"/>
              <w:rPr>
                <w:rFonts w:ascii="Times New Roman" w:eastAsia="Arial" w:hAnsi="Times New Roman" w:cs="Times New Roman"/>
              </w:rPr>
            </w:pPr>
            <w:r>
              <w:rPr>
                <w:rFonts w:ascii="Times New Roman" w:eastAsia="Arial" w:hAnsi="Times New Roman" w:cs="Times New Roman"/>
              </w:rPr>
              <w:t>28</w:t>
            </w:r>
          </w:p>
        </w:tc>
        <w:tc>
          <w:tcPr>
            <w:tcW w:w="2340" w:type="dxa"/>
            <w:tcMar>
              <w:top w:w="65" w:type="dxa"/>
              <w:left w:w="75" w:type="dxa"/>
              <w:bottom w:w="65" w:type="dxa"/>
              <w:right w:w="75" w:type="dxa"/>
            </w:tcMar>
          </w:tcPr>
          <w:p w14:paraId="15EAB8F6" w14:textId="01D9E988" w:rsidR="00C036FF" w:rsidRPr="00F937DB" w:rsidRDefault="00C036FF" w:rsidP="00236E81">
            <w:pPr>
              <w:rPr>
                <w:rFonts w:ascii="Times New Roman" w:hAnsi="Times New Roman" w:cs="Times New Roman"/>
              </w:rPr>
            </w:pPr>
            <w:r w:rsidRPr="00F937DB">
              <w:rPr>
                <w:rFonts w:ascii="Times New Roman" w:eastAsia="Arial" w:hAnsi="Times New Roman" w:cs="Times New Roman"/>
              </w:rPr>
              <w:t>J.1 p.4, §4.0; SF33 pp.23-24, FAR 52.225-1; SF33 Section K, FAR 52.225-2 and 52.225-18</w:t>
            </w:r>
          </w:p>
        </w:tc>
        <w:tc>
          <w:tcPr>
            <w:tcW w:w="3861" w:type="dxa"/>
            <w:tcMar>
              <w:top w:w="65" w:type="dxa"/>
              <w:left w:w="75" w:type="dxa"/>
              <w:bottom w:w="65" w:type="dxa"/>
              <w:right w:w="75" w:type="dxa"/>
            </w:tcMar>
          </w:tcPr>
          <w:p w14:paraId="68C683AA" w14:textId="57200FE5" w:rsidR="00C036FF" w:rsidRPr="00F937DB" w:rsidRDefault="00C036FF" w:rsidP="00236E81">
            <w:pPr>
              <w:rPr>
                <w:rFonts w:ascii="Times New Roman" w:hAnsi="Times New Roman" w:cs="Times New Roman"/>
              </w:rPr>
            </w:pPr>
            <w:r w:rsidRPr="00F937DB">
              <w:rPr>
                <w:rFonts w:ascii="Times New Roman" w:eastAsia="Arial" w:hAnsi="Times New Roman" w:cs="Times New Roman"/>
              </w:rPr>
              <w:t>2</w:t>
            </w:r>
            <w:r>
              <w:rPr>
                <w:rFonts w:ascii="Times New Roman" w:eastAsia="Arial" w:hAnsi="Times New Roman" w:cs="Times New Roman"/>
              </w:rPr>
              <w:t>8</w:t>
            </w:r>
            <w:r w:rsidRPr="00F937DB">
              <w:rPr>
                <w:rFonts w:ascii="Times New Roman" w:eastAsia="Arial" w:hAnsi="Times New Roman" w:cs="Times New Roman"/>
              </w:rPr>
              <w:t>. J.1 states that there are no geographic restrictions on the RECs, while the SF33 includes Buy American requirements and Section K asks for a Buy American Certificate and Place of Manufacture. Does that mean the RECs need to originate from the US or can Canada be included, considering the GHG protocol views the US and Canada as a single market?</w:t>
            </w:r>
          </w:p>
        </w:tc>
        <w:tc>
          <w:tcPr>
            <w:tcW w:w="2614" w:type="dxa"/>
            <w:tcMar>
              <w:top w:w="65" w:type="dxa"/>
              <w:left w:w="75" w:type="dxa"/>
              <w:bottom w:w="65" w:type="dxa"/>
              <w:right w:w="75" w:type="dxa"/>
            </w:tcMar>
          </w:tcPr>
          <w:p w14:paraId="22B609D8" w14:textId="03C35D35" w:rsidR="00C036FF" w:rsidRPr="00F937DB" w:rsidRDefault="0094175A" w:rsidP="00236E81">
            <w:pPr>
              <w:rPr>
                <w:rFonts w:ascii="Times New Roman" w:hAnsi="Times New Roman" w:cs="Times New Roman"/>
              </w:rPr>
            </w:pPr>
            <w:r w:rsidRPr="0094175A">
              <w:rPr>
                <w:rFonts w:ascii="Times New Roman" w:hAnsi="Times New Roman" w:cs="Times New Roman"/>
              </w:rPr>
              <w:t>To clarify, the RECs must originate from within the United States; however, there are no geographic restrictions regarding their specific location within the U.S. Please also note that all RECs must comply with Green‑e certification requirements.</w:t>
            </w:r>
          </w:p>
        </w:tc>
      </w:tr>
    </w:tbl>
    <w:p w14:paraId="2BAE4DDE" w14:textId="407565AE" w:rsidR="00236E81" w:rsidRPr="00236E81" w:rsidRDefault="00236E81" w:rsidP="00C036FF">
      <w:pPr>
        <w:tabs>
          <w:tab w:val="left" w:pos="3180"/>
        </w:tabs>
        <w:rPr>
          <w:rFonts w:ascii="Times New Roman" w:hAnsi="Times New Roman" w:cs="Times New Roman"/>
          <w:sz w:val="24"/>
          <w:szCs w:val="24"/>
        </w:rPr>
      </w:pPr>
    </w:p>
    <w:sectPr w:rsidR="00236E81" w:rsidRPr="00236E8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42459" w14:textId="77777777" w:rsidR="004B034D" w:rsidRDefault="004B034D" w:rsidP="00593E23">
      <w:pPr>
        <w:spacing w:after="0" w:line="240" w:lineRule="auto"/>
      </w:pPr>
      <w:r>
        <w:separator/>
      </w:r>
    </w:p>
  </w:endnote>
  <w:endnote w:type="continuationSeparator" w:id="0">
    <w:p w14:paraId="6D31ECDC" w14:textId="77777777" w:rsidR="004B034D" w:rsidRDefault="004B034D" w:rsidP="00593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51A4" w14:textId="77777777" w:rsidR="004B034D" w:rsidRDefault="004B034D" w:rsidP="00593E23">
      <w:pPr>
        <w:spacing w:after="0" w:line="240" w:lineRule="auto"/>
      </w:pPr>
      <w:r>
        <w:separator/>
      </w:r>
    </w:p>
  </w:footnote>
  <w:footnote w:type="continuationSeparator" w:id="0">
    <w:p w14:paraId="10821934" w14:textId="77777777" w:rsidR="004B034D" w:rsidRDefault="004B034D" w:rsidP="00593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60C8" w14:textId="77777777" w:rsidR="00593E23" w:rsidRPr="00192ED8" w:rsidRDefault="00DF4DC5" w:rsidP="00593E23">
    <w:pPr>
      <w:pStyle w:val="Header"/>
      <w:jc w:val="center"/>
      <w:rPr>
        <w:rFonts w:ascii="Times New Roman" w:hAnsi="Times New Roman" w:cs="Times New Roman"/>
        <w:b/>
      </w:rPr>
    </w:pPr>
    <w:r>
      <w:rPr>
        <w:rFonts w:ascii="Times New Roman" w:hAnsi="Times New Roman" w:cs="Times New Roman"/>
        <w:b/>
      </w:rPr>
      <w:t xml:space="preserve">Attachment </w:t>
    </w:r>
    <w:r w:rsidR="00F71D8D">
      <w:rPr>
        <w:rFonts w:ascii="Times New Roman" w:hAnsi="Times New Roman" w:cs="Times New Roman"/>
        <w:b/>
      </w:rPr>
      <w:t>J.</w:t>
    </w:r>
    <w:r w:rsidR="00402D3A">
      <w:rPr>
        <w:rFonts w:ascii="Times New Roman" w:hAnsi="Times New Roman" w:cs="Times New Roman"/>
        <w:b/>
      </w:rPr>
      <w:t>7</w:t>
    </w:r>
  </w:p>
  <w:p w14:paraId="17A49966" w14:textId="77777777" w:rsidR="00593E23" w:rsidRPr="00192ED8" w:rsidRDefault="00593E23" w:rsidP="00593E23">
    <w:pPr>
      <w:pStyle w:val="Header"/>
      <w:jc w:val="center"/>
      <w:rPr>
        <w:rFonts w:ascii="Times New Roman" w:hAnsi="Times New Roman" w:cs="Times New Roman"/>
        <w:b/>
      </w:rPr>
    </w:pPr>
  </w:p>
  <w:p w14:paraId="209D8F23" w14:textId="77777777" w:rsidR="00593E23" w:rsidRPr="00192ED8" w:rsidRDefault="00402D3A" w:rsidP="00593E23">
    <w:pPr>
      <w:pStyle w:val="Header"/>
      <w:jc w:val="center"/>
      <w:rPr>
        <w:rFonts w:ascii="Times New Roman" w:hAnsi="Times New Roman" w:cs="Times New Roman"/>
        <w:b/>
      </w:rPr>
    </w:pPr>
    <w:r>
      <w:rPr>
        <w:rFonts w:ascii="Times New Roman" w:hAnsi="Times New Roman" w:cs="Times New Roman"/>
        <w:b/>
      </w:rPr>
      <w:t>Quoters</w:t>
    </w:r>
    <w:r w:rsidR="00F71D8D">
      <w:rPr>
        <w:rFonts w:ascii="Times New Roman" w:hAnsi="Times New Roman" w:cs="Times New Roman"/>
        <w:b/>
      </w:rPr>
      <w:t xml:space="preserve"> Questions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E23"/>
    <w:rsid w:val="000C24C9"/>
    <w:rsid w:val="000F6C06"/>
    <w:rsid w:val="00192ED8"/>
    <w:rsid w:val="001D58EF"/>
    <w:rsid w:val="00236E81"/>
    <w:rsid w:val="00294983"/>
    <w:rsid w:val="002C73A3"/>
    <w:rsid w:val="003531F3"/>
    <w:rsid w:val="003572B2"/>
    <w:rsid w:val="00366E49"/>
    <w:rsid w:val="00391231"/>
    <w:rsid w:val="00402D3A"/>
    <w:rsid w:val="00414268"/>
    <w:rsid w:val="004B034D"/>
    <w:rsid w:val="0057183C"/>
    <w:rsid w:val="00593E23"/>
    <w:rsid w:val="005B303E"/>
    <w:rsid w:val="00610B9E"/>
    <w:rsid w:val="00625A9B"/>
    <w:rsid w:val="00666A89"/>
    <w:rsid w:val="00670883"/>
    <w:rsid w:val="00675E4D"/>
    <w:rsid w:val="006D32F2"/>
    <w:rsid w:val="006D3BE7"/>
    <w:rsid w:val="007C591A"/>
    <w:rsid w:val="008D2332"/>
    <w:rsid w:val="009002C4"/>
    <w:rsid w:val="0093086F"/>
    <w:rsid w:val="0094175A"/>
    <w:rsid w:val="00966638"/>
    <w:rsid w:val="0097023A"/>
    <w:rsid w:val="00971C9F"/>
    <w:rsid w:val="00A74746"/>
    <w:rsid w:val="00AE4D26"/>
    <w:rsid w:val="00B243C3"/>
    <w:rsid w:val="00C036FF"/>
    <w:rsid w:val="00C31822"/>
    <w:rsid w:val="00C4467F"/>
    <w:rsid w:val="00C50CA5"/>
    <w:rsid w:val="00C51128"/>
    <w:rsid w:val="00C52BA8"/>
    <w:rsid w:val="00CE2AFF"/>
    <w:rsid w:val="00DF4DC5"/>
    <w:rsid w:val="00E61C7D"/>
    <w:rsid w:val="00EA1784"/>
    <w:rsid w:val="00EB6DAA"/>
    <w:rsid w:val="00F47CF8"/>
    <w:rsid w:val="00F544CF"/>
    <w:rsid w:val="00F65B60"/>
    <w:rsid w:val="00F67DE8"/>
    <w:rsid w:val="00F71D8D"/>
    <w:rsid w:val="00F91741"/>
    <w:rsid w:val="00F937DB"/>
    <w:rsid w:val="00FA2A09"/>
    <w:rsid w:val="00FE4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9974"/>
  <w15:chartTrackingRefBased/>
  <w15:docId w15:val="{D60305AB-1729-497C-8067-1AE231AE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E23"/>
  </w:style>
  <w:style w:type="paragraph" w:styleId="Footer">
    <w:name w:val="footer"/>
    <w:basedOn w:val="Normal"/>
    <w:link w:val="FooterChar"/>
    <w:uiPriority w:val="99"/>
    <w:unhideWhenUsed/>
    <w:rsid w:val="00593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E23"/>
  </w:style>
  <w:style w:type="table" w:styleId="TableGrid">
    <w:name w:val="Table Grid"/>
    <w:basedOn w:val="TableNormal"/>
    <w:uiPriority w:val="59"/>
    <w:rsid w:val="00593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1784"/>
    <w:rPr>
      <w:sz w:val="16"/>
      <w:szCs w:val="16"/>
    </w:rPr>
  </w:style>
  <w:style w:type="paragraph" w:styleId="CommentText">
    <w:name w:val="annotation text"/>
    <w:basedOn w:val="Normal"/>
    <w:link w:val="CommentTextChar"/>
    <w:uiPriority w:val="99"/>
    <w:unhideWhenUsed/>
    <w:rsid w:val="00EA1784"/>
    <w:pPr>
      <w:spacing w:line="240" w:lineRule="auto"/>
    </w:pPr>
    <w:rPr>
      <w:sz w:val="20"/>
      <w:szCs w:val="20"/>
    </w:rPr>
  </w:style>
  <w:style w:type="character" w:customStyle="1" w:styleId="CommentTextChar">
    <w:name w:val="Comment Text Char"/>
    <w:basedOn w:val="DefaultParagraphFont"/>
    <w:link w:val="CommentText"/>
    <w:uiPriority w:val="99"/>
    <w:rsid w:val="00EA1784"/>
    <w:rPr>
      <w:sz w:val="20"/>
      <w:szCs w:val="20"/>
    </w:rPr>
  </w:style>
  <w:style w:type="paragraph" w:styleId="CommentSubject">
    <w:name w:val="annotation subject"/>
    <w:basedOn w:val="CommentText"/>
    <w:next w:val="CommentText"/>
    <w:link w:val="CommentSubjectChar"/>
    <w:uiPriority w:val="99"/>
    <w:semiHidden/>
    <w:unhideWhenUsed/>
    <w:rsid w:val="00EA1784"/>
    <w:rPr>
      <w:b/>
      <w:bCs/>
    </w:rPr>
  </w:style>
  <w:style w:type="character" w:customStyle="1" w:styleId="CommentSubjectChar">
    <w:name w:val="Comment Subject Char"/>
    <w:basedOn w:val="CommentTextChar"/>
    <w:link w:val="CommentSubject"/>
    <w:uiPriority w:val="99"/>
    <w:semiHidden/>
    <w:rsid w:val="00EA17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acdd116-a279-4fbd-809b-10105d780b1f}" enabled="1" method="Standard" siteId="{e30c25ee-7400-479f-ae89-e5d36e23011b}" contentBits="0" removed="0"/>
  <clbl:label id="{9ba91227-1296-4dae-926b-fdc809cb087e}" enabled="1" method="Standard" siteId="{0a055e7f-2ab5-47dc-bcdc-dc3c81f1b177}" contentBits="0" removed="0"/>
</clbl:labelList>
</file>

<file path=docProps/app.xml><?xml version="1.0" encoding="utf-8"?>
<Properties xmlns="http://schemas.openxmlformats.org/officeDocument/2006/extended-properties" xmlns:vt="http://schemas.openxmlformats.org/officeDocument/2006/docPropsVTypes">
  <Template>Normal</Template>
  <TotalTime>85</TotalTime>
  <Pages>5</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SEC</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Euley, Selina</dc:creator>
  <cp:keywords/>
  <dc:description/>
  <cp:lastModifiedBy>Fuqua, Donald B.</cp:lastModifiedBy>
  <cp:revision>7</cp:revision>
  <dcterms:created xsi:type="dcterms:W3CDTF">2026-09-14T13:42:00Z</dcterms:created>
  <dcterms:modified xsi:type="dcterms:W3CDTF">2026-09-14T17:57:00Z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269ecb-0d43-47e8-a7cf-8956ce927ad6_Enabled">
    <vt:lpwstr>true</vt:lpwstr>
  </property>
  <property fmtid="{D5CDD505-2E9C-101B-9397-08002B2CF9AE}" pid="3" name="MSIP_Label_23269ecb-0d43-47e8-a7cf-8956ce927ad6_SetDate">
    <vt:lpwstr>2023-04-11T18:43:31Z</vt:lpwstr>
  </property>
  <property fmtid="{D5CDD505-2E9C-101B-9397-08002B2CF9AE}" pid="4" name="MSIP_Label_23269ecb-0d43-47e8-a7cf-8956ce927ad6_Method">
    <vt:lpwstr>Standard</vt:lpwstr>
  </property>
  <property fmtid="{D5CDD505-2E9C-101B-9397-08002B2CF9AE}" pid="5" name="MSIP_Label_23269ecb-0d43-47e8-a7cf-8956ce927ad6_Name">
    <vt:lpwstr>defa4170-0d19-0005-0004-bc88714345d2</vt:lpwstr>
  </property>
  <property fmtid="{D5CDD505-2E9C-101B-9397-08002B2CF9AE}" pid="6" name="MSIP_Label_23269ecb-0d43-47e8-a7cf-8956ce927ad6_SiteId">
    <vt:lpwstr>0a055e7f-2ab5-47dc-bcdc-dc3c81f1b177</vt:lpwstr>
  </property>
  <property fmtid="{D5CDD505-2E9C-101B-9397-08002B2CF9AE}" pid="7" name="MSIP_Label_23269ecb-0d43-47e8-a7cf-8956ce927ad6_ActionId">
    <vt:lpwstr>e9a8a946-1458-4563-9430-c20d0f00466c</vt:lpwstr>
  </property>
  <property fmtid="{D5CDD505-2E9C-101B-9397-08002B2CF9AE}" pid="8" name="MSIP_Label_23269ecb-0d43-47e8-a7cf-8956ce927ad6_ContentBits">
    <vt:lpwstr>0</vt:lpwstr>
  </property>
</Properties>
</file>